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DF49" w14:textId="465C325C" w:rsidR="00AB5CFE" w:rsidRPr="00AB5CFE" w:rsidRDefault="00AB5CFE" w:rsidP="00984C0A">
      <w:pPr>
        <w:jc w:val="center"/>
        <w:rPr>
          <w:rFonts w:ascii="標楷體" w:eastAsia="標楷體" w:hAnsi="標楷體"/>
          <w:b/>
          <w:sz w:val="28"/>
        </w:rPr>
      </w:pPr>
      <w:r w:rsidRPr="00AB5CFE">
        <w:rPr>
          <w:rFonts w:ascii="標楷體" w:eastAsia="標楷體" w:hAnsi="標楷體" w:hint="eastAsia"/>
          <w:b/>
          <w:sz w:val="28"/>
        </w:rPr>
        <w:t>臺北市立大同高級中學</w:t>
      </w:r>
      <w:r w:rsidRPr="00AB5CFE">
        <w:rPr>
          <w:rFonts w:ascii="標楷體" w:eastAsia="標楷體" w:hAnsi="標楷體"/>
          <w:b/>
          <w:sz w:val="28"/>
        </w:rPr>
        <w:t>11</w:t>
      </w:r>
      <w:r w:rsidRPr="00AB5CFE">
        <w:rPr>
          <w:rFonts w:ascii="標楷體" w:eastAsia="標楷體" w:hAnsi="標楷體" w:hint="eastAsia"/>
          <w:b/>
          <w:sz w:val="28"/>
        </w:rPr>
        <w:t>2學年度第2學期高中第</w:t>
      </w:r>
      <w:r w:rsidR="00D95846">
        <w:rPr>
          <w:rFonts w:ascii="標楷體" w:eastAsia="標楷體" w:hAnsi="標楷體" w:hint="eastAsia"/>
          <w:b/>
          <w:sz w:val="28"/>
        </w:rPr>
        <w:t>4</w:t>
      </w:r>
      <w:r w:rsidRPr="00AB5CFE">
        <w:rPr>
          <w:rFonts w:ascii="標楷體" w:eastAsia="標楷體" w:hAnsi="標楷體" w:hint="eastAsia"/>
          <w:b/>
          <w:sz w:val="28"/>
        </w:rPr>
        <w:t>次教學研究會</w:t>
      </w:r>
      <w:r w:rsidRPr="00AB5CFE">
        <w:rPr>
          <w:rFonts w:ascii="標楷體" w:eastAsia="標楷體" w:hAnsi="標楷體" w:hint="eastAsia"/>
          <w:b/>
          <w:bCs/>
          <w:sz w:val="28"/>
        </w:rPr>
        <w:t>紀錄</w:t>
      </w:r>
    </w:p>
    <w:p w14:paraId="5FF7A371" w14:textId="167ED241" w:rsidR="00235CE2" w:rsidRPr="00235CE2" w:rsidRDefault="00235CE2" w:rsidP="00984C0A">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 xml:space="preserve">民國 </w:t>
      </w:r>
      <w:r w:rsidR="003D07B5">
        <w:rPr>
          <w:rFonts w:ascii="標楷體" w:eastAsia="標楷體" w:hAnsi="標楷體"/>
        </w:rPr>
        <w:t>1</w:t>
      </w:r>
      <w:r w:rsidR="000D0E1A">
        <w:rPr>
          <w:rFonts w:ascii="標楷體" w:eastAsia="標楷體" w:hAnsi="標楷體" w:hint="eastAsia"/>
        </w:rPr>
        <w:t>13</w:t>
      </w:r>
      <w:r w:rsidR="00D739CC" w:rsidRPr="00D739CC">
        <w:rPr>
          <w:rFonts w:ascii="標楷體" w:eastAsia="標楷體" w:hAnsi="標楷體" w:hint="eastAsia"/>
        </w:rPr>
        <w:t>年</w:t>
      </w:r>
      <w:r w:rsidR="000D0E1A">
        <w:rPr>
          <w:rFonts w:ascii="標楷體" w:eastAsia="標楷體" w:hAnsi="標楷體" w:hint="eastAsia"/>
        </w:rPr>
        <w:t>5</w:t>
      </w:r>
      <w:r w:rsidR="00D739CC" w:rsidRPr="00D739CC">
        <w:rPr>
          <w:rFonts w:ascii="標楷體" w:eastAsia="標楷體" w:hAnsi="標楷體" w:hint="eastAsia"/>
        </w:rPr>
        <w:t xml:space="preserve"> 月 </w:t>
      </w:r>
      <w:r w:rsidR="000D0E1A">
        <w:rPr>
          <w:rFonts w:ascii="標楷體" w:eastAsia="標楷體" w:hAnsi="標楷體" w:hint="eastAsia"/>
        </w:rPr>
        <w:t>1</w:t>
      </w:r>
      <w:r w:rsidR="00D739CC" w:rsidRPr="00D739CC">
        <w:rPr>
          <w:rFonts w:ascii="標楷體" w:eastAsia="標楷體" w:hAnsi="標楷體" w:hint="eastAsia"/>
        </w:rPr>
        <w:t>日(星期</w:t>
      </w:r>
      <w:r w:rsidR="003D07B5">
        <w:rPr>
          <w:rFonts w:ascii="標楷體" w:eastAsia="標楷體" w:hAnsi="標楷體" w:hint="eastAsia"/>
        </w:rPr>
        <w:t>三</w:t>
      </w:r>
      <w:r w:rsidR="00D739CC" w:rsidRPr="00D739CC">
        <w:rPr>
          <w:rFonts w:ascii="標楷體" w:eastAsia="標楷體" w:hAnsi="標楷體" w:hint="eastAsia"/>
        </w:rPr>
        <w:t xml:space="preserve">  )</w:t>
      </w:r>
      <w:r w:rsidR="003D07B5">
        <w:rPr>
          <w:rFonts w:ascii="標楷體" w:eastAsia="標楷體" w:hAnsi="標楷體" w:hint="eastAsia"/>
        </w:rPr>
        <w:t xml:space="preserve"> </w:t>
      </w:r>
      <w:r w:rsidR="000D0E1A">
        <w:rPr>
          <w:rFonts w:ascii="標楷體" w:eastAsia="標楷體" w:hAnsi="標楷體" w:hint="eastAsia"/>
        </w:rPr>
        <w:t>10</w:t>
      </w:r>
      <w:r w:rsidR="00D739CC" w:rsidRPr="00D739CC">
        <w:rPr>
          <w:rFonts w:ascii="標楷體" w:eastAsia="標楷體" w:hAnsi="標楷體" w:hint="eastAsia"/>
        </w:rPr>
        <w:t>時</w:t>
      </w:r>
      <w:r w:rsidR="001D2D3C">
        <w:rPr>
          <w:rFonts w:ascii="標楷體" w:eastAsia="標楷體" w:hAnsi="標楷體" w:hint="eastAsia"/>
        </w:rPr>
        <w:t>1</w:t>
      </w:r>
      <w:r w:rsidR="001D2D3C">
        <w:rPr>
          <w:rFonts w:ascii="標楷體" w:eastAsia="標楷體" w:hAnsi="標楷體"/>
        </w:rPr>
        <w:t>0</w:t>
      </w:r>
      <w:r w:rsidR="00D739CC" w:rsidRPr="00D739CC">
        <w:rPr>
          <w:rFonts w:ascii="標楷體" w:eastAsia="標楷體" w:hAnsi="標楷體" w:hint="eastAsia"/>
        </w:rPr>
        <w:t xml:space="preserve"> 分</w:t>
      </w:r>
    </w:p>
    <w:p w14:paraId="3A46030A" w14:textId="2F981EFB" w:rsidR="00235CE2" w:rsidRPr="00235CE2" w:rsidRDefault="00235CE2" w:rsidP="00984C0A">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224386">
        <w:rPr>
          <w:rFonts w:ascii="標楷體" w:eastAsia="標楷體" w:hAnsi="標楷體" w:hint="eastAsia"/>
        </w:rPr>
        <w:t>四</w:t>
      </w:r>
      <w:r w:rsidR="003D07B5">
        <w:rPr>
          <w:rFonts w:ascii="標楷體" w:eastAsia="標楷體" w:hAnsi="標楷體" w:hint="eastAsia"/>
        </w:rPr>
        <w:t>樓</w:t>
      </w:r>
      <w:r w:rsidR="00224386">
        <w:rPr>
          <w:rFonts w:ascii="標楷體" w:eastAsia="標楷體" w:hAnsi="標楷體" w:hint="eastAsia"/>
        </w:rPr>
        <w:t>社會科討論室</w:t>
      </w:r>
    </w:p>
    <w:p w14:paraId="2AEF6589" w14:textId="61EC6414" w:rsidR="00235CE2" w:rsidRPr="00235CE2" w:rsidRDefault="00235CE2" w:rsidP="00984C0A">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95846">
        <w:rPr>
          <w:rFonts w:ascii="標楷體" w:eastAsia="標楷體" w:hAnsi="標楷體" w:cs="Arial" w:hint="eastAsia"/>
          <w:color w:val="000000"/>
        </w:rPr>
        <w:t>15</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D95846">
        <w:rPr>
          <w:rFonts w:ascii="標楷體" w:eastAsia="標楷體" w:hAnsi="標楷體" w:cs="Arial" w:hint="eastAsia"/>
          <w:color w:val="000000"/>
        </w:rPr>
        <w:t>0</w:t>
      </w:r>
      <w:r w:rsidR="00D739CC">
        <w:rPr>
          <w:rFonts w:ascii="標楷體" w:eastAsia="標楷體" w:hAnsi="標楷體" w:cs="Arial" w:hint="eastAsia"/>
          <w:color w:val="000000"/>
        </w:rPr>
        <w:t>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95846">
        <w:rPr>
          <w:rFonts w:ascii="標楷體" w:eastAsia="標楷體" w:hAnsi="標楷體" w:cs="Arial" w:hint="eastAsia"/>
          <w:color w:val="000000"/>
        </w:rPr>
        <w:t>13</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D95846">
        <w:rPr>
          <w:rFonts w:ascii="標楷體" w:eastAsia="標楷體" w:hAnsi="標楷體" w:cs="Arial" w:hint="eastAsia"/>
          <w:color w:val="000000"/>
        </w:rPr>
        <w:t>0</w:t>
      </w:r>
      <w:r w:rsidR="00D739CC">
        <w:rPr>
          <w:rFonts w:ascii="標楷體" w:eastAsia="標楷體" w:hAnsi="標楷體" w:cs="Arial" w:hint="eastAsia"/>
          <w:color w:val="000000"/>
        </w:rPr>
        <w:t>人</w:t>
      </w:r>
      <w:r w:rsidR="00D739CC" w:rsidRPr="00FA50C1">
        <w:rPr>
          <w:rFonts w:ascii="標楷體" w:eastAsia="標楷體" w:hAnsi="標楷體" w:cs="Arial"/>
          <w:color w:val="000000"/>
        </w:rPr>
        <w:t>（</w:t>
      </w:r>
      <w:r w:rsidR="00D739CC" w:rsidRPr="003D07B5">
        <w:rPr>
          <w:rFonts w:ascii="標楷體" w:eastAsia="標楷體" w:hAnsi="標楷體" w:cs="Arial"/>
          <w:b/>
          <w:color w:val="000000"/>
        </w:rPr>
        <w:t>見簽</w:t>
      </w:r>
      <w:r w:rsidR="00D739CC" w:rsidRPr="003D07B5">
        <w:rPr>
          <w:rFonts w:ascii="標楷體" w:eastAsia="標楷體" w:hAnsi="標楷體" w:cs="Arial" w:hint="eastAsia"/>
          <w:b/>
          <w:color w:val="000000"/>
        </w:rPr>
        <w:t>到表</w:t>
      </w:r>
      <w:r w:rsidR="00D739CC" w:rsidRPr="00FA50C1">
        <w:rPr>
          <w:rFonts w:ascii="標楷體" w:eastAsia="標楷體" w:hAnsi="標楷體" w:cs="Arial"/>
          <w:color w:val="000000"/>
        </w:rPr>
        <w:t>）</w:t>
      </w:r>
    </w:p>
    <w:p w14:paraId="3D16F683" w14:textId="7CC08C08" w:rsidR="00235CE2" w:rsidRDefault="00235CE2" w:rsidP="00984C0A">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224386">
        <w:rPr>
          <w:rFonts w:ascii="標楷體" w:eastAsia="標楷體" w:hAnsi="標楷體" w:hint="eastAsia"/>
        </w:rPr>
        <w:t>趙翊伶</w:t>
      </w:r>
      <w:r w:rsidR="003D07B5">
        <w:rPr>
          <w:rFonts w:ascii="標楷體" w:eastAsia="標楷體" w:hAnsi="標楷體" w:hint="eastAsia"/>
        </w:rPr>
        <w:t>老師</w:t>
      </w:r>
      <w:r w:rsidRPr="00235CE2">
        <w:rPr>
          <w:rFonts w:ascii="標楷體" w:eastAsia="標楷體" w:hAnsi="標楷體" w:hint="eastAsia"/>
        </w:rPr>
        <w:t xml:space="preserve">                                        記錄：</w:t>
      </w:r>
      <w:r w:rsidR="00224386">
        <w:rPr>
          <w:rFonts w:ascii="標楷體" w:eastAsia="標楷體" w:hAnsi="標楷體" w:hint="eastAsia"/>
        </w:rPr>
        <w:t>莊美蓮</w:t>
      </w:r>
      <w:r w:rsidR="003D07B5">
        <w:rPr>
          <w:rFonts w:ascii="標楷體" w:eastAsia="標楷體" w:hAnsi="標楷體" w:hint="eastAsia"/>
        </w:rPr>
        <w:t>老師</w:t>
      </w:r>
    </w:p>
    <w:p w14:paraId="34FBCCD8" w14:textId="77777777" w:rsidR="00235CE2" w:rsidRDefault="00235CE2" w:rsidP="00984C0A">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14:paraId="358B22F5" w14:textId="5666D9D9" w:rsidR="00424A70" w:rsidRDefault="00224386" w:rsidP="00424A70">
      <w:pPr>
        <w:pStyle w:val="a7"/>
        <w:ind w:leftChars="0"/>
      </w:pPr>
      <w:r w:rsidRPr="0070449D">
        <w:rPr>
          <w:rFonts w:asciiTheme="minorEastAsia" w:eastAsiaTheme="minorEastAsia" w:hAnsiTheme="minorEastAsia" w:hint="eastAsia"/>
        </w:rPr>
        <w:t>請各科老師</w:t>
      </w:r>
      <w:r w:rsidR="00F638FD" w:rsidRPr="0070449D">
        <w:rPr>
          <w:rFonts w:asciiTheme="minorEastAsia" w:eastAsiaTheme="minorEastAsia" w:hAnsiTheme="minorEastAsia" w:hint="eastAsia"/>
        </w:rPr>
        <w:t>依照教科用書選取辦法，各科自行討論113學年度教科書選取的評分原則</w:t>
      </w:r>
      <w:r w:rsidR="00994C07" w:rsidRPr="0070449D">
        <w:rPr>
          <w:rFonts w:asciiTheme="minorEastAsia" w:eastAsiaTheme="minorEastAsia" w:hAnsiTheme="minorEastAsia" w:hint="eastAsia"/>
        </w:rPr>
        <w:t xml:space="preserve"> </w:t>
      </w:r>
      <w:r w:rsidR="00F638FD" w:rsidRPr="0070449D">
        <w:rPr>
          <w:rFonts w:asciiTheme="minorEastAsia" w:eastAsiaTheme="minorEastAsia" w:hAnsiTheme="minorEastAsia" w:hint="eastAsia"/>
        </w:rPr>
        <w:t>，以及投票產生教學用書。</w:t>
      </w:r>
      <w:r w:rsidR="00424A70">
        <w:rPr>
          <w:rFonts w:hint="eastAsia"/>
        </w:rPr>
        <w:t>由評選小組彙整評選評分表後，繳交至設備組。選書結果由設備組統一公告。</w:t>
      </w:r>
    </w:p>
    <w:p w14:paraId="2C2A8492" w14:textId="35C8D950" w:rsidR="00994C07" w:rsidRPr="00424A70" w:rsidRDefault="00994C07" w:rsidP="00984C0A">
      <w:pPr>
        <w:ind w:left="606"/>
        <w:rPr>
          <w:rFonts w:asciiTheme="minorEastAsia" w:eastAsiaTheme="minorEastAsia" w:hAnsiTheme="minorEastAsia"/>
        </w:rPr>
      </w:pPr>
    </w:p>
    <w:p w14:paraId="5F878F06" w14:textId="1606AE6B" w:rsidR="00F638FD" w:rsidRPr="00F638FD" w:rsidRDefault="00004E7D" w:rsidP="00984C0A">
      <w:pPr>
        <w:numPr>
          <w:ilvl w:val="0"/>
          <w:numId w:val="1"/>
        </w:numPr>
        <w:tabs>
          <w:tab w:val="clear" w:pos="752"/>
          <w:tab w:val="num" w:pos="594"/>
        </w:tabs>
        <w:ind w:left="606" w:hanging="606"/>
        <w:rPr>
          <w:rFonts w:eastAsia="標楷體"/>
          <w:b/>
          <w:color w:val="000000"/>
        </w:rPr>
      </w:pPr>
      <w:r>
        <w:rPr>
          <w:rFonts w:ascii="標楷體" w:eastAsia="標楷體" w:hAnsi="標楷體" w:hint="eastAsia"/>
        </w:rPr>
        <w:t>業務報告(</w:t>
      </w:r>
      <w:r w:rsidR="00F638FD">
        <w:rPr>
          <w:rFonts w:ascii="標楷體" w:eastAsia="標楷體" w:hAnsi="標楷體" w:hint="eastAsia"/>
        </w:rPr>
        <w:t>各科討論紀錄</w:t>
      </w:r>
      <w:r>
        <w:rPr>
          <w:rFonts w:ascii="標楷體" w:eastAsia="標楷體" w:hAnsi="標楷體" w:hint="eastAsia"/>
        </w:rPr>
        <w:t>)</w:t>
      </w:r>
      <w:r w:rsidR="00235CE2">
        <w:rPr>
          <w:rFonts w:ascii="標楷體" w:eastAsia="標楷體" w:hAnsi="標楷體" w:hint="eastAsia"/>
        </w:rPr>
        <w:t>：</w:t>
      </w:r>
    </w:p>
    <w:p w14:paraId="1AC896FE" w14:textId="6E86C154" w:rsidR="0005741B" w:rsidRPr="00077F91" w:rsidRDefault="0005741B" w:rsidP="00984C0A">
      <w:pPr>
        <w:ind w:left="606"/>
        <w:rPr>
          <w:rFonts w:eastAsia="標楷體"/>
          <w:b/>
          <w:color w:val="000000"/>
        </w:rPr>
      </w:pPr>
    </w:p>
    <w:tbl>
      <w:tblPr>
        <w:tblW w:w="1077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5"/>
        <w:gridCol w:w="9855"/>
      </w:tblGrid>
      <w:tr w:rsidR="0005741B" w:rsidRPr="00077F91" w14:paraId="683066CB" w14:textId="77777777" w:rsidTr="00AD2E8C">
        <w:trPr>
          <w:trHeight w:val="140"/>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rPr>
                <w:rFonts w:eastAsia="標楷體"/>
              </w:rPr>
              <w:tag w:val="goog_rdk_204"/>
              <w:id w:val="-663164282"/>
            </w:sdtPr>
            <w:sdtEndPr/>
            <w:sdtContent>
              <w:p w14:paraId="1C554460" w14:textId="77777777" w:rsidR="0005741B" w:rsidRPr="00077F91" w:rsidRDefault="00EE63C9" w:rsidP="00984C0A">
                <w:pPr>
                  <w:widowControl/>
                  <w:pBdr>
                    <w:top w:val="nil"/>
                    <w:left w:val="nil"/>
                    <w:bottom w:val="nil"/>
                    <w:right w:val="nil"/>
                    <w:between w:val="nil"/>
                  </w:pBdr>
                  <w:ind w:left="240"/>
                  <w:jc w:val="both"/>
                  <w:rPr>
                    <w:rFonts w:eastAsia="標楷體"/>
                  </w:rPr>
                </w:pPr>
              </w:p>
            </w:sdtContent>
          </w:sdt>
        </w:tc>
        <w:tc>
          <w:tcPr>
            <w:tcW w:w="9855"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eastAsia="標楷體"/>
              </w:rPr>
              <w:tag w:val="goog_rdk_205"/>
              <w:id w:val="-2076197875"/>
            </w:sdtPr>
            <w:sdtEndPr/>
            <w:sdtContent>
              <w:p w14:paraId="0E2CCFE6" w14:textId="77777777" w:rsidR="0005741B" w:rsidRPr="00077F91" w:rsidRDefault="0005741B" w:rsidP="00984C0A">
                <w:pPr>
                  <w:widowControl/>
                  <w:pBdr>
                    <w:top w:val="nil"/>
                    <w:left w:val="nil"/>
                    <w:bottom w:val="nil"/>
                    <w:right w:val="nil"/>
                    <w:between w:val="nil"/>
                  </w:pBdr>
                  <w:ind w:left="240"/>
                  <w:jc w:val="center"/>
                  <w:rPr>
                    <w:rFonts w:eastAsia="標楷體"/>
                  </w:rPr>
                </w:pPr>
                <w:r w:rsidRPr="00077F91">
                  <w:rPr>
                    <w:rFonts w:eastAsia="標楷體"/>
                  </w:rPr>
                  <w:t>報告內容</w:t>
                </w:r>
              </w:p>
            </w:sdtContent>
          </w:sdt>
        </w:tc>
      </w:tr>
      <w:tr w:rsidR="00D84721" w:rsidRPr="00077F91" w14:paraId="3DA47D35" w14:textId="77777777" w:rsidTr="00AD2E8C">
        <w:trPr>
          <w:trHeight w:val="720"/>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47B73" w14:textId="4B2C554C" w:rsidR="00D84721" w:rsidRDefault="00D84721" w:rsidP="00984C0A">
            <w:pPr>
              <w:widowControl/>
              <w:pBdr>
                <w:top w:val="nil"/>
                <w:left w:val="nil"/>
                <w:bottom w:val="nil"/>
                <w:right w:val="nil"/>
                <w:between w:val="nil"/>
              </w:pBdr>
              <w:jc w:val="both"/>
              <w:rPr>
                <w:rFonts w:eastAsia="標楷體"/>
              </w:rPr>
            </w:pPr>
            <w:r>
              <w:rPr>
                <w:rFonts w:eastAsia="標楷體" w:hint="eastAsia"/>
              </w:rPr>
              <w:t>歷史</w:t>
            </w:r>
          </w:p>
        </w:tc>
        <w:tc>
          <w:tcPr>
            <w:tcW w:w="9855" w:type="dxa"/>
            <w:tcBorders>
              <w:bottom w:val="single" w:sz="8" w:space="0" w:color="000000"/>
              <w:right w:val="single" w:sz="8" w:space="0" w:color="000000"/>
            </w:tcBorders>
            <w:tcMar>
              <w:top w:w="100" w:type="dxa"/>
              <w:left w:w="100" w:type="dxa"/>
              <w:bottom w:w="100" w:type="dxa"/>
              <w:right w:w="100" w:type="dxa"/>
            </w:tcMar>
          </w:tcPr>
          <w:p w14:paraId="23BF5C85" w14:textId="77777777" w:rsidR="00D84721" w:rsidRDefault="00D84721" w:rsidP="00984C0A">
            <w:r w:rsidRPr="00D84721">
              <w:t>一</w:t>
            </w:r>
            <w:r w:rsidRPr="00D84721">
              <w:t xml:space="preserve"> </w:t>
            </w:r>
            <w:r w:rsidRPr="00D84721">
              <w:t>評選原則：</w:t>
            </w:r>
          </w:p>
          <w:p w14:paraId="62F59AB1" w14:textId="77777777" w:rsidR="00766675" w:rsidRDefault="00D84721" w:rsidP="00984C0A">
            <w:r w:rsidRPr="00D84721">
              <w:t xml:space="preserve"> </w:t>
            </w:r>
            <w:r w:rsidR="00766675">
              <w:rPr>
                <w:rFonts w:hint="eastAsia"/>
              </w:rPr>
              <w:t xml:space="preserve">  </w:t>
            </w:r>
            <w:r w:rsidRPr="00D84721">
              <w:t xml:space="preserve">1. </w:t>
            </w:r>
            <w:r w:rsidRPr="00D84721">
              <w:t>依據臺北市公私立高級中等學校教科用書選用及代辦採購要點及本校教科書選用辦法</w:t>
            </w:r>
          </w:p>
          <w:p w14:paraId="1BB6CBD5" w14:textId="77777777" w:rsidR="00766675" w:rsidRDefault="00766675" w:rsidP="00984C0A">
            <w:r>
              <w:rPr>
                <w:rFonts w:hint="eastAsia"/>
              </w:rPr>
              <w:t xml:space="preserve">   </w:t>
            </w:r>
            <w:r w:rsidR="00D84721" w:rsidRPr="00D84721">
              <w:t>進行評選。</w:t>
            </w:r>
            <w:r w:rsidR="00D84721" w:rsidRPr="00D84721">
              <w:t xml:space="preserve"> 2. </w:t>
            </w:r>
            <w:r w:rsidR="00D84721" w:rsidRPr="00D84721">
              <w:t>依據學生程度、學習方式、能力與身心發展及特性，選擇適合學生學習</w:t>
            </w:r>
            <w:r>
              <w:rPr>
                <w:rFonts w:hint="eastAsia"/>
              </w:rPr>
              <w:t xml:space="preserve"> </w:t>
            </w:r>
          </w:p>
          <w:p w14:paraId="0C4D650E" w14:textId="77777777" w:rsidR="00766675" w:rsidRDefault="00766675" w:rsidP="00984C0A">
            <w:r>
              <w:rPr>
                <w:rFonts w:hint="eastAsia"/>
              </w:rPr>
              <w:t xml:space="preserve">   </w:t>
            </w:r>
            <w:r w:rsidR="00D84721" w:rsidRPr="00D84721">
              <w:t>之版本。</w:t>
            </w:r>
            <w:r w:rsidR="00D84721" w:rsidRPr="00D84721">
              <w:t xml:space="preserve"> 3. </w:t>
            </w:r>
            <w:r w:rsidR="00D84721" w:rsidRPr="00D84721">
              <w:t>針對教學目標、課程單元邏輯設計、課程架構統整與銜接作為教學考量，</w:t>
            </w:r>
          </w:p>
          <w:p w14:paraId="4CEE86BF" w14:textId="58114ECE" w:rsidR="00D84721" w:rsidRDefault="00766675" w:rsidP="00984C0A">
            <w:r>
              <w:rPr>
                <w:rFonts w:hint="eastAsia"/>
              </w:rPr>
              <w:t xml:space="preserve">   </w:t>
            </w:r>
            <w:r w:rsidR="00D84721" w:rsidRPr="00D84721">
              <w:t>選擇適合教師使用之版本。</w:t>
            </w:r>
            <w:r w:rsidR="00D84721" w:rsidRPr="00D84721">
              <w:t xml:space="preserve"> </w:t>
            </w:r>
          </w:p>
          <w:p w14:paraId="7E1807D5" w14:textId="77777777" w:rsidR="00D84721" w:rsidRDefault="00D84721" w:rsidP="00984C0A">
            <w:r w:rsidRPr="00D84721">
              <w:t>二</w:t>
            </w:r>
            <w:r w:rsidRPr="00D84721">
              <w:t xml:space="preserve"> </w:t>
            </w:r>
            <w:r w:rsidRPr="00D84721">
              <w:t>評選小組：</w:t>
            </w:r>
            <w:r w:rsidRPr="00D84721">
              <w:t xml:space="preserve"> </w:t>
            </w:r>
          </w:p>
          <w:p w14:paraId="6A7840BC" w14:textId="77777777" w:rsidR="00766675" w:rsidRDefault="00766675" w:rsidP="00984C0A">
            <w:r>
              <w:rPr>
                <w:rFonts w:hint="eastAsia"/>
              </w:rPr>
              <w:t xml:space="preserve">   </w:t>
            </w:r>
            <w:r w:rsidR="00D84721" w:rsidRPr="00D84721">
              <w:t>1.</w:t>
            </w:r>
            <w:r w:rsidR="00D84721" w:rsidRPr="00D84721">
              <w:t>教科書作者進行迴避不予評分，協調由其餘任課教師共同評分。</w:t>
            </w:r>
            <w:r w:rsidR="00D84721" w:rsidRPr="00D84721">
              <w:t xml:space="preserve"> </w:t>
            </w:r>
            <w:r w:rsidR="00BF46DF">
              <w:rPr>
                <w:rFonts w:hint="eastAsia"/>
              </w:rPr>
              <w:t>2.</w:t>
            </w:r>
            <w:r w:rsidR="00D84721" w:rsidRPr="00D84721">
              <w:t>由科召進行各年段</w:t>
            </w:r>
          </w:p>
          <w:p w14:paraId="75B42CFE" w14:textId="1F2F2AB5" w:rsidR="00D84721" w:rsidRDefault="00766675" w:rsidP="00984C0A">
            <w:r>
              <w:rPr>
                <w:rFonts w:hint="eastAsia"/>
              </w:rPr>
              <w:t xml:space="preserve">   </w:t>
            </w:r>
            <w:r w:rsidR="00D84721" w:rsidRPr="00D84721">
              <w:t>最後評選結果彙整。</w:t>
            </w:r>
            <w:r w:rsidR="00D84721" w:rsidRPr="00D84721">
              <w:t xml:space="preserve"> </w:t>
            </w:r>
          </w:p>
          <w:p w14:paraId="18F52B32" w14:textId="77777777" w:rsidR="00D84721" w:rsidRDefault="00D84721" w:rsidP="00984C0A">
            <w:pPr>
              <w:widowControl/>
              <w:pBdr>
                <w:top w:val="nil"/>
                <w:left w:val="nil"/>
                <w:bottom w:val="nil"/>
                <w:right w:val="nil"/>
                <w:between w:val="nil"/>
              </w:pBdr>
            </w:pPr>
            <w:r w:rsidRPr="00D84721">
              <w:t>三</w:t>
            </w:r>
            <w:r w:rsidRPr="00D84721">
              <w:t xml:space="preserve"> </w:t>
            </w:r>
            <w:r w:rsidRPr="00D84721">
              <w:t>評選建議：</w:t>
            </w:r>
            <w:r w:rsidRPr="00D84721">
              <w:t xml:space="preserve"> </w:t>
            </w:r>
          </w:p>
          <w:p w14:paraId="61EFA986" w14:textId="409C1E08" w:rsidR="00D84721" w:rsidRDefault="00511F8C" w:rsidP="00511F8C">
            <w:pPr>
              <w:pStyle w:val="a7"/>
              <w:widowControl/>
              <w:pBdr>
                <w:top w:val="nil"/>
                <w:left w:val="nil"/>
                <w:bottom w:val="nil"/>
                <w:right w:val="nil"/>
                <w:between w:val="nil"/>
              </w:pBdr>
              <w:ind w:leftChars="0" w:left="360"/>
            </w:pPr>
            <w:r>
              <w:rPr>
                <w:rFonts w:hint="eastAsia"/>
              </w:rPr>
              <w:t>1.</w:t>
            </w:r>
            <w:r w:rsidR="00D84721" w:rsidRPr="00D84721">
              <w:t>在評選原則的前提下，選擇能夠延續課程邏輯架構之版本。</w:t>
            </w:r>
            <w:r w:rsidR="00D84721" w:rsidRPr="00D84721">
              <w:t xml:space="preserve"> </w:t>
            </w:r>
            <w:r>
              <w:rPr>
                <w:rFonts w:hint="eastAsia"/>
              </w:rPr>
              <w:t>2</w:t>
            </w:r>
            <w:r w:rsidR="00D84721" w:rsidRPr="00D84721">
              <w:t xml:space="preserve">. </w:t>
            </w:r>
            <w:r w:rsidR="00D84721" w:rsidRPr="00D84721">
              <w:t>必修與選修教科書之版本可分開考量，無架構延續問題。</w:t>
            </w:r>
            <w:r w:rsidR="00D84721" w:rsidRPr="00D84721">
              <w:t xml:space="preserve"> </w:t>
            </w:r>
          </w:p>
          <w:p w14:paraId="40390029" w14:textId="61408E9F" w:rsidR="00511F8C" w:rsidRDefault="00511F8C" w:rsidP="00511F8C">
            <w:r>
              <w:rPr>
                <w:rFonts w:hint="eastAsia"/>
              </w:rPr>
              <w:t>四</w:t>
            </w:r>
            <w:r>
              <w:rPr>
                <w:rFonts w:ascii="新細明體" w:hAnsi="新細明體" w:hint="eastAsia"/>
              </w:rPr>
              <w:t>、</w:t>
            </w:r>
            <w:r>
              <w:rPr>
                <w:rFonts w:hint="eastAsia"/>
              </w:rPr>
              <w:t>選書結果：</w:t>
            </w:r>
          </w:p>
          <w:p w14:paraId="65C7EF5F" w14:textId="77777777" w:rsidR="00511F8C" w:rsidRDefault="00511F8C" w:rsidP="00511F8C">
            <w:pPr>
              <w:pStyle w:val="a7"/>
              <w:ind w:leftChars="0"/>
            </w:pPr>
            <w:r>
              <w:rPr>
                <w:rFonts w:hint="eastAsia"/>
              </w:rPr>
              <w:t>由評選小組彙整評選評分表後，繳交至設備組。</w:t>
            </w:r>
          </w:p>
          <w:p w14:paraId="4236FE7B" w14:textId="77777777" w:rsidR="00511F8C" w:rsidRDefault="00511F8C" w:rsidP="00511F8C">
            <w:pPr>
              <w:pStyle w:val="a7"/>
              <w:ind w:leftChars="0"/>
            </w:pPr>
            <w:r>
              <w:rPr>
                <w:rFonts w:hint="eastAsia"/>
              </w:rPr>
              <w:t>選書結果由設備組統一公告。</w:t>
            </w:r>
          </w:p>
          <w:p w14:paraId="237E4186" w14:textId="49B5E3C4" w:rsidR="00984C0A" w:rsidRPr="0070449D" w:rsidRDefault="00984C0A" w:rsidP="0070449D">
            <w:pPr>
              <w:widowControl/>
              <w:pBdr>
                <w:top w:val="nil"/>
                <w:left w:val="nil"/>
                <w:bottom w:val="nil"/>
                <w:right w:val="nil"/>
                <w:between w:val="nil"/>
              </w:pBdr>
              <w:rPr>
                <w:rFonts w:ascii="標楷體" w:eastAsia="標楷體" w:hAnsi="標楷體"/>
              </w:rPr>
            </w:pPr>
          </w:p>
        </w:tc>
      </w:tr>
      <w:tr w:rsidR="00DE6BEA" w:rsidRPr="00077F91" w14:paraId="565566D6" w14:textId="77777777" w:rsidTr="00AD2E8C">
        <w:trPr>
          <w:trHeight w:val="720"/>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6437B0" w14:textId="519B7E4F" w:rsidR="00DE6BEA" w:rsidRPr="00077F91" w:rsidRDefault="00F638FD" w:rsidP="00984C0A">
            <w:pPr>
              <w:widowControl/>
              <w:pBdr>
                <w:top w:val="nil"/>
                <w:left w:val="nil"/>
                <w:bottom w:val="nil"/>
                <w:right w:val="nil"/>
                <w:between w:val="nil"/>
              </w:pBdr>
              <w:ind w:left="240"/>
              <w:jc w:val="both"/>
              <w:rPr>
                <w:rFonts w:eastAsia="標楷體"/>
              </w:rPr>
            </w:pPr>
            <w:r>
              <w:rPr>
                <w:rFonts w:eastAsia="標楷體" w:hint="eastAsia"/>
              </w:rPr>
              <w:t>地理</w:t>
            </w:r>
          </w:p>
        </w:tc>
        <w:tc>
          <w:tcPr>
            <w:tcW w:w="9855" w:type="dxa"/>
            <w:tcBorders>
              <w:bottom w:val="single" w:sz="8" w:space="0" w:color="000000"/>
              <w:right w:val="single" w:sz="8" w:space="0" w:color="000000"/>
            </w:tcBorders>
            <w:tcMar>
              <w:top w:w="100" w:type="dxa"/>
              <w:left w:w="100" w:type="dxa"/>
              <w:bottom w:w="100" w:type="dxa"/>
              <w:right w:w="100" w:type="dxa"/>
            </w:tcMar>
          </w:tcPr>
          <w:p w14:paraId="73CFD363" w14:textId="77777777" w:rsidR="00993D85" w:rsidRDefault="00993D85" w:rsidP="00984C0A">
            <w:pPr>
              <w:pStyle w:val="a7"/>
              <w:numPr>
                <w:ilvl w:val="0"/>
                <w:numId w:val="16"/>
              </w:numPr>
              <w:ind w:leftChars="0"/>
            </w:pPr>
            <w:r w:rsidRPr="00BC70F0">
              <w:rPr>
                <w:rFonts w:hint="eastAsia"/>
              </w:rPr>
              <w:t>選書原則：</w:t>
            </w:r>
          </w:p>
          <w:p w14:paraId="06ED7AD9" w14:textId="77777777" w:rsidR="00993D85" w:rsidRDefault="00993D85" w:rsidP="00984C0A">
            <w:pPr>
              <w:pStyle w:val="a7"/>
              <w:ind w:leftChars="0"/>
            </w:pPr>
            <w:r w:rsidRPr="00BC70F0">
              <w:rPr>
                <w:rFonts w:hint="eastAsia"/>
              </w:rPr>
              <w:t>依據</w:t>
            </w:r>
            <w:r w:rsidRPr="00BC70F0">
              <w:t>臺北市公私立</w:t>
            </w:r>
            <w:r>
              <w:rPr>
                <w:rFonts w:asciiTheme="minorEastAsia" w:hAnsiTheme="minorEastAsia" w:cs="Microsoft YaHei" w:hint="eastAsia"/>
              </w:rPr>
              <w:t>高</w:t>
            </w:r>
            <w:r w:rsidRPr="00BC70F0">
              <w:rPr>
                <w:rFonts w:hint="eastAsia"/>
              </w:rPr>
              <w:t>級中等學校教科</w:t>
            </w:r>
            <w:r>
              <w:rPr>
                <w:rFonts w:asciiTheme="minorEastAsia" w:hAnsiTheme="minorEastAsia" w:cs="Microsoft YaHei" w:hint="eastAsia"/>
              </w:rPr>
              <w:t>用</w:t>
            </w:r>
            <w:r w:rsidRPr="00BC70F0">
              <w:rPr>
                <w:rFonts w:hint="eastAsia"/>
              </w:rPr>
              <w:t>書選</w:t>
            </w:r>
            <w:r>
              <w:rPr>
                <w:rFonts w:asciiTheme="minorEastAsia" w:hAnsiTheme="minorEastAsia" w:cs="Microsoft YaHei" w:hint="eastAsia"/>
              </w:rPr>
              <w:t>用</w:t>
            </w:r>
            <w:r w:rsidRPr="00BC70F0">
              <w:rPr>
                <w:rFonts w:hint="eastAsia"/>
              </w:rPr>
              <w:t>及代辦採購要</w:t>
            </w:r>
            <w:r w:rsidRPr="00BC70F0">
              <w:t>點</w:t>
            </w:r>
            <w:r w:rsidRPr="00BC70F0">
              <w:rPr>
                <w:rFonts w:hint="eastAsia"/>
              </w:rPr>
              <w:t>及本校教科書選用辦法進行評選。</w:t>
            </w:r>
          </w:p>
          <w:p w14:paraId="5F8E904D" w14:textId="77777777" w:rsidR="00993D85" w:rsidRDefault="00993D85" w:rsidP="00984C0A">
            <w:pPr>
              <w:pStyle w:val="a7"/>
              <w:ind w:leftChars="0"/>
            </w:pPr>
            <w:r w:rsidRPr="00BC70F0">
              <w:t>（一）符合課程綱要並經審定合格。</w:t>
            </w:r>
          </w:p>
          <w:p w14:paraId="7B42C006" w14:textId="77777777" w:rsidR="00993D85" w:rsidRDefault="00993D85" w:rsidP="00984C0A">
            <w:pPr>
              <w:pStyle w:val="a7"/>
              <w:ind w:leftChars="0"/>
            </w:pPr>
            <w:r w:rsidRPr="00BC70F0">
              <w:t>（二）適應學生學習方式、能力與身心發展及特性，並考量教育原理、課程統整、銜接及教學目標之達成。</w:t>
            </w:r>
          </w:p>
          <w:p w14:paraId="4AF9B770" w14:textId="1FB6AB9A" w:rsidR="00993D85" w:rsidRDefault="00993D85" w:rsidP="00766675">
            <w:pPr>
              <w:pStyle w:val="a7"/>
              <w:ind w:leftChars="0"/>
            </w:pPr>
            <w:r w:rsidRPr="00BC70F0">
              <w:t>（三）考量教師教學專業需求及學校本位課程或特色之發展。</w:t>
            </w:r>
          </w:p>
          <w:p w14:paraId="68FF2F95" w14:textId="77777777" w:rsidR="00993D85" w:rsidRDefault="00993D85" w:rsidP="00984C0A">
            <w:pPr>
              <w:pStyle w:val="a7"/>
              <w:numPr>
                <w:ilvl w:val="0"/>
                <w:numId w:val="16"/>
              </w:numPr>
              <w:ind w:leftChars="0"/>
            </w:pPr>
            <w:r>
              <w:rPr>
                <w:rFonts w:hint="eastAsia"/>
              </w:rPr>
              <w:t>選書小組：</w:t>
            </w:r>
          </w:p>
          <w:p w14:paraId="19F21686" w14:textId="6AA79C56" w:rsidR="00993D85" w:rsidRDefault="00993D85" w:rsidP="00766675">
            <w:pPr>
              <w:pStyle w:val="a7"/>
              <w:ind w:leftChars="0"/>
            </w:pPr>
            <w:r>
              <w:rPr>
                <w:rFonts w:hint="eastAsia"/>
              </w:rPr>
              <w:t>因科內有兩位教師擔任教科書作者，依規定迴避選書工作及相關討論。</w:t>
            </w:r>
          </w:p>
          <w:p w14:paraId="7756C81A" w14:textId="77777777" w:rsidR="00993D85" w:rsidRDefault="00993D85" w:rsidP="00984C0A">
            <w:pPr>
              <w:pStyle w:val="a7"/>
              <w:numPr>
                <w:ilvl w:val="0"/>
                <w:numId w:val="16"/>
              </w:numPr>
              <w:ind w:leftChars="0"/>
            </w:pPr>
            <w:r>
              <w:rPr>
                <w:rFonts w:hint="eastAsia"/>
              </w:rPr>
              <w:lastRenderedPageBreak/>
              <w:t>選書結果：</w:t>
            </w:r>
          </w:p>
          <w:p w14:paraId="57477AD7" w14:textId="77777777" w:rsidR="00993D85" w:rsidRDefault="00993D85" w:rsidP="00984C0A">
            <w:pPr>
              <w:pStyle w:val="a7"/>
              <w:ind w:leftChars="0"/>
            </w:pPr>
            <w:r>
              <w:rPr>
                <w:rFonts w:hint="eastAsia"/>
              </w:rPr>
              <w:t>由評選小組彙整評選評分表後，繳交至設備組。</w:t>
            </w:r>
          </w:p>
          <w:p w14:paraId="6C406B6F" w14:textId="77777777" w:rsidR="00993D85" w:rsidRDefault="00993D85" w:rsidP="00984C0A">
            <w:pPr>
              <w:pStyle w:val="a7"/>
              <w:ind w:leftChars="0"/>
            </w:pPr>
            <w:r>
              <w:rPr>
                <w:rFonts w:hint="eastAsia"/>
              </w:rPr>
              <w:t>選書結果由設備組統一公告。</w:t>
            </w:r>
          </w:p>
          <w:p w14:paraId="282CB62B" w14:textId="77777777" w:rsidR="000740EF" w:rsidRPr="00993D85" w:rsidRDefault="000740EF" w:rsidP="00984C0A">
            <w:pPr>
              <w:pStyle w:val="a7"/>
              <w:widowControl/>
              <w:shd w:val="clear" w:color="auto" w:fill="FFFFFF"/>
              <w:ind w:leftChars="0" w:left="360"/>
              <w:rPr>
                <w:rFonts w:ascii="標楷體" w:eastAsia="標楷體" w:hAnsi="標楷體"/>
              </w:rPr>
            </w:pPr>
          </w:p>
        </w:tc>
      </w:tr>
      <w:tr w:rsidR="0005741B" w:rsidRPr="00077F91" w14:paraId="285899C7" w14:textId="77777777" w:rsidTr="00AD2E8C">
        <w:trPr>
          <w:trHeight w:val="720"/>
        </w:trPr>
        <w:tc>
          <w:tcPr>
            <w:tcW w:w="91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rPr>
                <w:rFonts w:eastAsia="標楷體"/>
              </w:rPr>
              <w:tag w:val="goog_rdk_206"/>
              <w:id w:val="-1478291478"/>
            </w:sdtPr>
            <w:sdtEndPr/>
            <w:sdtContent>
              <w:p w14:paraId="0F20E4F8" w14:textId="77777777" w:rsidR="00993D85" w:rsidRDefault="00993D85" w:rsidP="00984C0A">
                <w:pPr>
                  <w:widowControl/>
                  <w:pBdr>
                    <w:top w:val="nil"/>
                    <w:left w:val="nil"/>
                    <w:bottom w:val="nil"/>
                    <w:right w:val="nil"/>
                    <w:between w:val="nil"/>
                  </w:pBdr>
                  <w:jc w:val="both"/>
                  <w:rPr>
                    <w:rFonts w:eastAsia="標楷體"/>
                  </w:rPr>
                </w:pPr>
                <w:r>
                  <w:rPr>
                    <w:rFonts w:eastAsia="標楷體" w:hint="eastAsia"/>
                  </w:rPr>
                  <w:t>公</w:t>
                </w:r>
              </w:p>
              <w:p w14:paraId="25570A11" w14:textId="7127637F" w:rsidR="0005741B" w:rsidRPr="00077F91" w:rsidRDefault="00993D85" w:rsidP="00984C0A">
                <w:pPr>
                  <w:widowControl/>
                  <w:pBdr>
                    <w:top w:val="nil"/>
                    <w:left w:val="nil"/>
                    <w:bottom w:val="nil"/>
                    <w:right w:val="nil"/>
                    <w:between w:val="nil"/>
                  </w:pBdr>
                  <w:jc w:val="both"/>
                  <w:rPr>
                    <w:rFonts w:eastAsia="標楷體"/>
                  </w:rPr>
                </w:pPr>
                <w:r>
                  <w:rPr>
                    <w:rFonts w:eastAsia="標楷體" w:hint="eastAsia"/>
                  </w:rPr>
                  <w:t>民</w:t>
                </w:r>
              </w:p>
            </w:sdtContent>
          </w:sdt>
        </w:tc>
        <w:tc>
          <w:tcPr>
            <w:tcW w:w="9855" w:type="dxa"/>
            <w:tcBorders>
              <w:bottom w:val="single" w:sz="8" w:space="0" w:color="000000"/>
              <w:right w:val="single" w:sz="8" w:space="0" w:color="000000"/>
            </w:tcBorders>
            <w:tcMar>
              <w:top w:w="100" w:type="dxa"/>
              <w:left w:w="100" w:type="dxa"/>
              <w:bottom w:w="100" w:type="dxa"/>
              <w:right w:w="100" w:type="dxa"/>
            </w:tcMar>
          </w:tcPr>
          <w:p w14:paraId="1D58BA79" w14:textId="77777777" w:rsidR="00984C0A" w:rsidRDefault="00D84721" w:rsidP="00984C0A">
            <w:r w:rsidRPr="00D84721">
              <w:t>一</w:t>
            </w:r>
            <w:r w:rsidRPr="00D84721">
              <w:t xml:space="preserve"> </w:t>
            </w:r>
            <w:r w:rsidRPr="00D84721">
              <w:t>評選原則：</w:t>
            </w:r>
          </w:p>
          <w:p w14:paraId="479C3069" w14:textId="6B89B7B0" w:rsidR="00D84721" w:rsidRDefault="00D84721" w:rsidP="00984C0A">
            <w:r w:rsidRPr="00D84721">
              <w:t xml:space="preserve"> 1. </w:t>
            </w:r>
            <w:r w:rsidRPr="00D84721">
              <w:t>依據臺北市公私立高級中等學校教科用書選用及代辦採購要點及本校教科書選用辦法進行評選。</w:t>
            </w:r>
            <w:r w:rsidRPr="00D84721">
              <w:t xml:space="preserve"> 2. </w:t>
            </w:r>
            <w:r w:rsidRPr="00D84721">
              <w:t>依據學生程度、學習方式、能力與身心發展及特性，選擇適合學生學習之版本。</w:t>
            </w:r>
            <w:r w:rsidRPr="00D84721">
              <w:t xml:space="preserve"> 3. </w:t>
            </w:r>
            <w:r w:rsidRPr="00D84721">
              <w:t>針對教學目標、課程單元邏輯設計、課程架構統整與銜接作為教學考量，選擇適合教師使用之版本。</w:t>
            </w:r>
            <w:r w:rsidRPr="00D84721">
              <w:t xml:space="preserve"> </w:t>
            </w:r>
          </w:p>
          <w:p w14:paraId="6FE2D170" w14:textId="77777777" w:rsidR="00984C0A" w:rsidRDefault="00D84721" w:rsidP="00984C0A">
            <w:r w:rsidRPr="00D84721">
              <w:t>二</w:t>
            </w:r>
            <w:r w:rsidRPr="00D84721">
              <w:t xml:space="preserve"> </w:t>
            </w:r>
            <w:r w:rsidRPr="00D84721">
              <w:t>評選小組：</w:t>
            </w:r>
          </w:p>
          <w:p w14:paraId="0C8ABD4C" w14:textId="38AA148A" w:rsidR="00D84721" w:rsidRDefault="00D84721" w:rsidP="00984C0A">
            <w:r w:rsidRPr="00D84721">
              <w:t xml:space="preserve"> 1. </w:t>
            </w:r>
            <w:r w:rsidRPr="00D84721">
              <w:t>各年級負責人為各年段教科書評選主審，參酌前述評選原則並輔以其他授課教師意見進行評選。</w:t>
            </w:r>
            <w:r w:rsidRPr="00D84721">
              <w:t xml:space="preserve"> 2. </w:t>
            </w:r>
            <w:r w:rsidRPr="00D84721">
              <w:t>教科書作者進行迴避不予評分，協調由其餘任課教師共同評分。</w:t>
            </w:r>
            <w:r w:rsidRPr="00D84721">
              <w:t xml:space="preserve"> 3. </w:t>
            </w:r>
            <w:r w:rsidRPr="00D84721">
              <w:t>由科召進行各年段最後評選結果彙整。</w:t>
            </w:r>
            <w:r w:rsidRPr="00D84721">
              <w:t xml:space="preserve"> </w:t>
            </w:r>
          </w:p>
          <w:p w14:paraId="5E54B7AE" w14:textId="77777777" w:rsidR="00984C0A" w:rsidRDefault="00D84721" w:rsidP="00984C0A">
            <w:r w:rsidRPr="00D84721">
              <w:t>三</w:t>
            </w:r>
            <w:r w:rsidRPr="00D84721">
              <w:t xml:space="preserve"> </w:t>
            </w:r>
            <w:r w:rsidRPr="00D84721">
              <w:t>評選建議：</w:t>
            </w:r>
            <w:r w:rsidRPr="00D84721">
              <w:t xml:space="preserve"> </w:t>
            </w:r>
          </w:p>
          <w:p w14:paraId="2609331F" w14:textId="77777777" w:rsidR="00B03B8E" w:rsidRDefault="00D84721" w:rsidP="00984C0A">
            <w:r w:rsidRPr="00D84721">
              <w:t xml:space="preserve">1. </w:t>
            </w:r>
            <w:r w:rsidRPr="00D84721">
              <w:t>下學年度高二探究與實作亦選購教科書供學生學習使用。</w:t>
            </w:r>
            <w:r w:rsidRPr="00D84721">
              <w:t xml:space="preserve"> 2. </w:t>
            </w:r>
            <w:r w:rsidRPr="00D84721">
              <w:t>在評選原則的前提下，選擇能夠延續課程邏輯架構之版本。</w:t>
            </w:r>
            <w:r w:rsidRPr="00D84721">
              <w:t xml:space="preserve"> 3. </w:t>
            </w:r>
            <w:r w:rsidRPr="00D84721">
              <w:t>必修與選修教科書之版本可分開考量，無架構延續問題。</w:t>
            </w:r>
            <w:r w:rsidRPr="00D84721">
              <w:t xml:space="preserve"> 4. </w:t>
            </w:r>
            <w:r w:rsidRPr="00D84721">
              <w:t>在評選原則的前提下，於不同年段選用不同版本作為試探，以解決</w:t>
            </w:r>
            <w:r w:rsidRPr="00D84721">
              <w:t xml:space="preserve"> 108 </w:t>
            </w:r>
            <w:r w:rsidRPr="00D84721">
              <w:t>課綱教科書各家版本課程架構歧異甚大的問題。</w:t>
            </w:r>
          </w:p>
          <w:p w14:paraId="7E51EF5C" w14:textId="3B256E67" w:rsidR="00766675" w:rsidRPr="00D84721" w:rsidRDefault="00766675" w:rsidP="00984C0A">
            <w:pPr>
              <w:rPr>
                <w:rFonts w:eastAsia="標楷體"/>
              </w:rPr>
            </w:pPr>
          </w:p>
        </w:tc>
      </w:tr>
    </w:tbl>
    <w:sdt>
      <w:sdtPr>
        <w:tag w:val="goog_rdk_331"/>
        <w:id w:val="8804698"/>
        <w:showingPlcHdr/>
      </w:sdtPr>
      <w:sdtEndPr/>
      <w:sdtContent>
        <w:p w14:paraId="58D41F55" w14:textId="77777777" w:rsidR="00425B0E" w:rsidRDefault="0005741B" w:rsidP="00984C0A">
          <w:pPr>
            <w:widowControl/>
            <w:pBdr>
              <w:top w:val="nil"/>
              <w:left w:val="nil"/>
              <w:bottom w:val="nil"/>
              <w:right w:val="nil"/>
              <w:between w:val="nil"/>
            </w:pBdr>
            <w:ind w:firstLine="240"/>
            <w:rPr>
              <w:rFonts w:ascii="標楷體" w:eastAsia="標楷體" w:hAnsi="標楷體"/>
            </w:rPr>
          </w:pPr>
          <w:r>
            <w:t xml:space="preserve">     </w:t>
          </w:r>
        </w:p>
      </w:sdtContent>
    </w:sdt>
    <w:p w14:paraId="245DB1AD" w14:textId="77777777" w:rsidR="0018510B" w:rsidRDefault="0018510B" w:rsidP="00984C0A">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提案討論：無</w:t>
      </w:r>
    </w:p>
    <w:p w14:paraId="3975FFC2" w14:textId="77777777" w:rsidR="0018510B" w:rsidRDefault="0018510B" w:rsidP="00984C0A">
      <w:pPr>
        <w:ind w:left="606"/>
        <w:rPr>
          <w:rFonts w:ascii="標楷體" w:eastAsia="標楷體" w:hAnsi="標楷體"/>
        </w:rPr>
      </w:pPr>
    </w:p>
    <w:p w14:paraId="7EE17B02" w14:textId="77777777" w:rsidR="0018510B" w:rsidRDefault="0018510B" w:rsidP="00984C0A">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臨時動議：無</w:t>
      </w:r>
    </w:p>
    <w:p w14:paraId="2B38EB26" w14:textId="77777777" w:rsidR="0018510B" w:rsidRDefault="0018510B" w:rsidP="00984C0A">
      <w:pPr>
        <w:ind w:left="606"/>
        <w:rPr>
          <w:rFonts w:ascii="標楷體" w:eastAsia="標楷體" w:hAnsi="標楷體"/>
        </w:rPr>
      </w:pPr>
    </w:p>
    <w:p w14:paraId="41A1C82D" w14:textId="3094250A" w:rsidR="0018510B" w:rsidRDefault="0018510B" w:rsidP="00984C0A">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Pr="00D739CC">
        <w:rPr>
          <w:rFonts w:ascii="標楷體" w:eastAsia="標楷體" w:hAnsi="標楷體" w:hint="eastAsia"/>
        </w:rPr>
        <w:t>民國</w:t>
      </w:r>
      <w:r>
        <w:rPr>
          <w:rFonts w:ascii="標楷體" w:eastAsia="標楷體" w:hAnsi="標楷體" w:hint="eastAsia"/>
        </w:rPr>
        <w:t>1</w:t>
      </w:r>
      <w:r>
        <w:rPr>
          <w:rFonts w:ascii="標楷體" w:eastAsia="標楷體" w:hAnsi="標楷體"/>
        </w:rPr>
        <w:t>1</w:t>
      </w:r>
      <w:r w:rsidR="00BF46DF">
        <w:rPr>
          <w:rFonts w:ascii="標楷體" w:eastAsia="標楷體" w:hAnsi="標楷體" w:hint="eastAsia"/>
        </w:rPr>
        <w:t>3</w:t>
      </w:r>
      <w:r w:rsidRPr="00D739CC">
        <w:rPr>
          <w:rFonts w:ascii="標楷體" w:eastAsia="標楷體" w:hAnsi="標楷體" w:hint="eastAsia"/>
        </w:rPr>
        <w:t>年</w:t>
      </w:r>
      <w:r w:rsidR="00BF46DF">
        <w:rPr>
          <w:rFonts w:ascii="標楷體" w:eastAsia="標楷體" w:hAnsi="標楷體" w:hint="eastAsia"/>
        </w:rPr>
        <w:t>5</w:t>
      </w:r>
      <w:r w:rsidRPr="00D739CC">
        <w:rPr>
          <w:rFonts w:ascii="標楷體" w:eastAsia="標楷體" w:hAnsi="標楷體" w:hint="eastAsia"/>
        </w:rPr>
        <w:t>月</w:t>
      </w:r>
      <w:r>
        <w:rPr>
          <w:rFonts w:ascii="標楷體" w:eastAsia="標楷體" w:hAnsi="標楷體" w:hint="eastAsia"/>
        </w:rPr>
        <w:t>1</w:t>
      </w:r>
      <w:r w:rsidRPr="00D739CC">
        <w:rPr>
          <w:rFonts w:ascii="標楷體" w:eastAsia="標楷體" w:hAnsi="標楷體" w:hint="eastAsia"/>
        </w:rPr>
        <w:t>日</w:t>
      </w:r>
      <w:r>
        <w:rPr>
          <w:rFonts w:ascii="標楷體" w:eastAsia="標楷體" w:hAnsi="標楷體" w:hint="eastAsia"/>
        </w:rPr>
        <w:t>1</w:t>
      </w:r>
      <w:r>
        <w:rPr>
          <w:rFonts w:ascii="標楷體" w:eastAsia="標楷體" w:hAnsi="標楷體"/>
        </w:rPr>
        <w:t>2</w:t>
      </w:r>
      <w:r w:rsidRPr="00D739CC">
        <w:rPr>
          <w:rFonts w:ascii="標楷體" w:eastAsia="標楷體" w:hAnsi="標楷體" w:hint="eastAsia"/>
        </w:rPr>
        <w:t>時</w:t>
      </w:r>
      <w:r>
        <w:rPr>
          <w:rFonts w:ascii="標楷體" w:eastAsia="標楷體" w:hAnsi="標楷體" w:hint="eastAsia"/>
        </w:rPr>
        <w:t>0</w:t>
      </w:r>
      <w:r>
        <w:rPr>
          <w:rFonts w:ascii="標楷體" w:eastAsia="標楷體" w:hAnsi="標楷體"/>
        </w:rPr>
        <w:t>0</w:t>
      </w:r>
      <w:r w:rsidRPr="00D739CC">
        <w:rPr>
          <w:rFonts w:ascii="標楷體" w:eastAsia="標楷體" w:hAnsi="標楷體" w:hint="eastAsia"/>
        </w:rPr>
        <w:t>分</w:t>
      </w:r>
    </w:p>
    <w:p w14:paraId="7689491A" w14:textId="77777777" w:rsidR="0018510B" w:rsidRDefault="0018510B" w:rsidP="00984C0A">
      <w:pPr>
        <w:pStyle w:val="a7"/>
        <w:rPr>
          <w:rFonts w:ascii="標楷體" w:eastAsia="標楷體" w:hAnsi="標楷體"/>
        </w:rPr>
      </w:pPr>
    </w:p>
    <w:p w14:paraId="0BC653B9" w14:textId="77777777" w:rsidR="0018510B" w:rsidRDefault="0018510B" w:rsidP="00984C0A">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766675" w14:paraId="403F8CB0" w14:textId="77777777" w:rsidTr="00B12CD1">
        <w:trPr>
          <w:trHeight w:val="3118"/>
        </w:trPr>
        <w:tc>
          <w:tcPr>
            <w:tcW w:w="2500" w:type="pct"/>
          </w:tcPr>
          <w:p w14:paraId="157D856D" w14:textId="37D881EA" w:rsidR="00766675" w:rsidRDefault="00766675" w:rsidP="00766675">
            <w:pPr>
              <w:pStyle w:val="Web"/>
            </w:pPr>
            <w:r>
              <w:rPr>
                <w:noProof/>
              </w:rPr>
              <w:drawing>
                <wp:inline distT="0" distB="0" distL="0" distR="0" wp14:anchorId="51FA96F1" wp14:editId="75BFDF95">
                  <wp:extent cx="2824619" cy="2119198"/>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751" cy="2134302"/>
                          </a:xfrm>
                          <a:prstGeom prst="rect">
                            <a:avLst/>
                          </a:prstGeom>
                          <a:noFill/>
                          <a:ln>
                            <a:noFill/>
                          </a:ln>
                        </pic:spPr>
                      </pic:pic>
                    </a:graphicData>
                  </a:graphic>
                </wp:inline>
              </w:drawing>
            </w:r>
          </w:p>
          <w:p w14:paraId="52869BA0" w14:textId="677BD8FC" w:rsidR="0018510B" w:rsidRDefault="0018510B" w:rsidP="00984C0A">
            <w:pPr>
              <w:kinsoku w:val="0"/>
              <w:overflowPunct w:val="0"/>
              <w:autoSpaceDE w:val="0"/>
              <w:autoSpaceDN w:val="0"/>
              <w:snapToGrid w:val="0"/>
              <w:jc w:val="center"/>
              <w:rPr>
                <w:rFonts w:eastAsia="標楷體"/>
                <w:color w:val="000000" w:themeColor="text1"/>
                <w:sz w:val="28"/>
                <w:szCs w:val="28"/>
              </w:rPr>
            </w:pPr>
          </w:p>
        </w:tc>
        <w:tc>
          <w:tcPr>
            <w:tcW w:w="2500" w:type="pct"/>
          </w:tcPr>
          <w:p w14:paraId="110D248A" w14:textId="125FDB78" w:rsidR="0018510B" w:rsidRDefault="00682591" w:rsidP="00984C0A">
            <w:pPr>
              <w:kinsoku w:val="0"/>
              <w:overflowPunct w:val="0"/>
              <w:autoSpaceDE w:val="0"/>
              <w:autoSpaceDN w:val="0"/>
              <w:snapToGrid w:val="0"/>
              <w:jc w:val="center"/>
              <w:rPr>
                <w:rFonts w:eastAsia="標楷體"/>
                <w:color w:val="000000" w:themeColor="text1"/>
                <w:sz w:val="28"/>
                <w:szCs w:val="28"/>
              </w:rPr>
            </w:pPr>
            <w:r>
              <w:rPr>
                <w:noProof/>
              </w:rPr>
              <w:drawing>
                <wp:inline distT="0" distB="0" distL="0" distR="0" wp14:anchorId="02733A8D" wp14:editId="0AF9D8F6">
                  <wp:extent cx="2831386" cy="2290988"/>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47"/>
                          <a:stretch/>
                        </pic:blipFill>
                        <pic:spPr bwMode="auto">
                          <a:xfrm>
                            <a:off x="0" y="0"/>
                            <a:ext cx="2850063" cy="23061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6675" w:rsidRPr="001F18EA" w14:paraId="62B0E619" w14:textId="77777777" w:rsidTr="00B12CD1">
        <w:trPr>
          <w:trHeight w:val="680"/>
        </w:trPr>
        <w:tc>
          <w:tcPr>
            <w:tcW w:w="2500" w:type="pct"/>
          </w:tcPr>
          <w:p w14:paraId="61050B82" w14:textId="5EC01D55" w:rsidR="0018510B" w:rsidRPr="00987B9B" w:rsidRDefault="00682591" w:rsidP="00984C0A">
            <w:pPr>
              <w:snapToGrid w:val="0"/>
              <w:rPr>
                <w:rFonts w:eastAsia="標楷體"/>
                <w:sz w:val="24"/>
              </w:rPr>
            </w:pPr>
            <w:r>
              <w:rPr>
                <w:rFonts w:eastAsia="標楷體" w:hint="eastAsia"/>
                <w:sz w:val="24"/>
              </w:rPr>
              <w:lastRenderedPageBreak/>
              <w:t>歷史</w:t>
            </w:r>
            <w:r w:rsidR="0018510B" w:rsidRPr="00987B9B">
              <w:rPr>
                <w:rFonts w:eastAsia="標楷體" w:hint="eastAsia"/>
                <w:sz w:val="24"/>
              </w:rPr>
              <w:t>科老師進行</w:t>
            </w:r>
            <w:r>
              <w:rPr>
                <w:rFonts w:eastAsia="標楷體" w:hint="eastAsia"/>
                <w:sz w:val="24"/>
              </w:rPr>
              <w:t>教科書討論會議</w:t>
            </w:r>
          </w:p>
        </w:tc>
        <w:tc>
          <w:tcPr>
            <w:tcW w:w="2500" w:type="pct"/>
          </w:tcPr>
          <w:p w14:paraId="199776AF" w14:textId="223DF6D6" w:rsidR="0018510B" w:rsidRPr="00987B9B" w:rsidRDefault="00682591" w:rsidP="00984C0A">
            <w:pPr>
              <w:snapToGrid w:val="0"/>
              <w:rPr>
                <w:rFonts w:eastAsia="標楷體"/>
                <w:sz w:val="24"/>
              </w:rPr>
            </w:pPr>
            <w:r>
              <w:rPr>
                <w:rFonts w:eastAsia="標楷體" w:hint="eastAsia"/>
                <w:sz w:val="24"/>
              </w:rPr>
              <w:t>地理</w:t>
            </w:r>
            <w:r w:rsidR="0018510B" w:rsidRPr="00987B9B">
              <w:rPr>
                <w:rFonts w:eastAsia="標楷體" w:hint="eastAsia"/>
                <w:sz w:val="24"/>
              </w:rPr>
              <w:t>科老師進行</w:t>
            </w:r>
            <w:r>
              <w:rPr>
                <w:rFonts w:eastAsia="標楷體" w:hint="eastAsia"/>
                <w:sz w:val="24"/>
              </w:rPr>
              <w:t>教科書討論會議</w:t>
            </w:r>
          </w:p>
        </w:tc>
      </w:tr>
      <w:tr w:rsidR="00766675" w14:paraId="0097740F" w14:textId="77777777" w:rsidTr="00B12CD1">
        <w:trPr>
          <w:trHeight w:val="3118"/>
        </w:trPr>
        <w:tc>
          <w:tcPr>
            <w:tcW w:w="2500" w:type="pct"/>
          </w:tcPr>
          <w:p w14:paraId="58C786F2" w14:textId="2B2D6853" w:rsidR="005B746C" w:rsidRDefault="005B746C" w:rsidP="005B746C">
            <w:pPr>
              <w:pStyle w:val="Web"/>
            </w:pPr>
            <w:r>
              <w:rPr>
                <w:noProof/>
              </w:rPr>
              <w:drawing>
                <wp:inline distT="0" distB="0" distL="0" distR="0" wp14:anchorId="2B939BAA" wp14:editId="3EC1F755">
                  <wp:extent cx="2644911" cy="352554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28" cy="3542226"/>
                          </a:xfrm>
                          <a:prstGeom prst="rect">
                            <a:avLst/>
                          </a:prstGeom>
                          <a:noFill/>
                          <a:ln>
                            <a:noFill/>
                          </a:ln>
                        </pic:spPr>
                      </pic:pic>
                    </a:graphicData>
                  </a:graphic>
                </wp:inline>
              </w:drawing>
            </w:r>
          </w:p>
          <w:p w14:paraId="377834B5" w14:textId="0B322903" w:rsidR="0018510B" w:rsidRDefault="0018510B" w:rsidP="00984C0A">
            <w:pPr>
              <w:kinsoku w:val="0"/>
              <w:overflowPunct w:val="0"/>
              <w:autoSpaceDE w:val="0"/>
              <w:autoSpaceDN w:val="0"/>
              <w:snapToGrid w:val="0"/>
              <w:jc w:val="center"/>
              <w:rPr>
                <w:rFonts w:eastAsia="標楷體"/>
                <w:color w:val="000000" w:themeColor="text1"/>
                <w:sz w:val="28"/>
                <w:szCs w:val="28"/>
              </w:rPr>
            </w:pPr>
          </w:p>
        </w:tc>
        <w:tc>
          <w:tcPr>
            <w:tcW w:w="2500" w:type="pct"/>
          </w:tcPr>
          <w:p w14:paraId="198AE59D" w14:textId="0D0F7745" w:rsidR="0018510B" w:rsidRDefault="0018510B" w:rsidP="00984C0A">
            <w:pPr>
              <w:kinsoku w:val="0"/>
              <w:overflowPunct w:val="0"/>
              <w:autoSpaceDE w:val="0"/>
              <w:autoSpaceDN w:val="0"/>
              <w:snapToGrid w:val="0"/>
              <w:jc w:val="center"/>
              <w:rPr>
                <w:rFonts w:eastAsia="標楷體"/>
                <w:color w:val="000000" w:themeColor="text1"/>
                <w:sz w:val="28"/>
                <w:szCs w:val="28"/>
              </w:rPr>
            </w:pPr>
          </w:p>
        </w:tc>
      </w:tr>
      <w:tr w:rsidR="00766675" w:rsidRPr="001F18EA" w14:paraId="5E156FBD" w14:textId="77777777" w:rsidTr="00B12CD1">
        <w:trPr>
          <w:trHeight w:val="680"/>
        </w:trPr>
        <w:tc>
          <w:tcPr>
            <w:tcW w:w="2500" w:type="pct"/>
          </w:tcPr>
          <w:p w14:paraId="4D4C0385" w14:textId="66FEAD2A" w:rsidR="0018510B" w:rsidRPr="00987B9B" w:rsidRDefault="0018510B" w:rsidP="00984C0A">
            <w:pPr>
              <w:snapToGrid w:val="0"/>
              <w:rPr>
                <w:rFonts w:eastAsia="標楷體"/>
                <w:sz w:val="24"/>
              </w:rPr>
            </w:pPr>
            <w:r>
              <w:rPr>
                <w:rFonts w:eastAsia="標楷體" w:hint="eastAsia"/>
                <w:sz w:val="24"/>
              </w:rPr>
              <w:t>公民</w:t>
            </w:r>
            <w:r w:rsidRPr="00987B9B">
              <w:rPr>
                <w:rFonts w:eastAsia="標楷體" w:hint="eastAsia"/>
                <w:sz w:val="24"/>
              </w:rPr>
              <w:t>科老師進行</w:t>
            </w:r>
            <w:r w:rsidR="00682591">
              <w:rPr>
                <w:rFonts w:eastAsia="標楷體" w:hint="eastAsia"/>
                <w:sz w:val="24"/>
              </w:rPr>
              <w:t>教科書討論會議</w:t>
            </w:r>
          </w:p>
        </w:tc>
        <w:tc>
          <w:tcPr>
            <w:tcW w:w="2500" w:type="pct"/>
          </w:tcPr>
          <w:p w14:paraId="782FD543" w14:textId="3E442A22" w:rsidR="0018510B" w:rsidRPr="00987B9B" w:rsidRDefault="0018510B" w:rsidP="00984C0A">
            <w:pPr>
              <w:snapToGrid w:val="0"/>
              <w:rPr>
                <w:rFonts w:eastAsia="標楷體"/>
              </w:rPr>
            </w:pPr>
          </w:p>
        </w:tc>
      </w:tr>
    </w:tbl>
    <w:p w14:paraId="776C7DFF" w14:textId="77777777" w:rsidR="0018510B" w:rsidRPr="00347DA9" w:rsidRDefault="0018510B" w:rsidP="00984C0A">
      <w:pPr>
        <w:rPr>
          <w:rFonts w:ascii="標楷體" w:eastAsia="標楷體" w:hAnsi="標楷體"/>
        </w:rPr>
      </w:pPr>
    </w:p>
    <w:p w14:paraId="2E188A4C" w14:textId="77777777" w:rsidR="008646C1" w:rsidRPr="0018510B" w:rsidRDefault="008646C1" w:rsidP="00984C0A">
      <w:pPr>
        <w:ind w:left="606"/>
        <w:rPr>
          <w:rFonts w:ascii="標楷體" w:eastAsia="標楷體" w:hAnsi="標楷體"/>
        </w:rPr>
      </w:pPr>
    </w:p>
    <w:sectPr w:rsidR="008646C1" w:rsidRPr="0018510B"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C176" w14:textId="77777777" w:rsidR="00EE63C9" w:rsidRDefault="00EE63C9" w:rsidP="00D41B84">
      <w:r>
        <w:separator/>
      </w:r>
    </w:p>
  </w:endnote>
  <w:endnote w:type="continuationSeparator" w:id="0">
    <w:p w14:paraId="0CDF7AF3" w14:textId="77777777" w:rsidR="00EE63C9" w:rsidRDefault="00EE63C9"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F04" w14:textId="77777777" w:rsidR="00EE63C9" w:rsidRDefault="00EE63C9" w:rsidP="00D41B84">
      <w:r>
        <w:separator/>
      </w:r>
    </w:p>
  </w:footnote>
  <w:footnote w:type="continuationSeparator" w:id="0">
    <w:p w14:paraId="77E563BC" w14:textId="77777777" w:rsidR="00EE63C9" w:rsidRDefault="00EE63C9" w:rsidP="00D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098"/>
    <w:multiLevelType w:val="hybridMultilevel"/>
    <w:tmpl w:val="AA608F94"/>
    <w:lvl w:ilvl="0" w:tplc="AEC2F2A0">
      <w:start w:val="1"/>
      <w:numFmt w:val="decimal"/>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1" w15:restartNumberingAfterBreak="0">
    <w:nsid w:val="0A104005"/>
    <w:multiLevelType w:val="hybridMultilevel"/>
    <w:tmpl w:val="39247A2E"/>
    <w:lvl w:ilvl="0" w:tplc="3DDA548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C81E7F"/>
    <w:multiLevelType w:val="hybridMultilevel"/>
    <w:tmpl w:val="70CA9482"/>
    <w:lvl w:ilvl="0" w:tplc="7758D63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823C4D"/>
    <w:multiLevelType w:val="hybridMultilevel"/>
    <w:tmpl w:val="6408F968"/>
    <w:lvl w:ilvl="0" w:tplc="0EA4F242">
      <w:start w:val="1"/>
      <w:numFmt w:val="decimal"/>
      <w:lvlText w:val="(%1)"/>
      <w:lvlJc w:val="left"/>
      <w:pPr>
        <w:ind w:left="720" w:hanging="36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3B47870"/>
    <w:multiLevelType w:val="hybridMultilevel"/>
    <w:tmpl w:val="81AABA00"/>
    <w:lvl w:ilvl="0" w:tplc="14402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7581F"/>
    <w:multiLevelType w:val="hybridMultilevel"/>
    <w:tmpl w:val="A580B84C"/>
    <w:lvl w:ilvl="0" w:tplc="81681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21B4C"/>
    <w:multiLevelType w:val="multilevel"/>
    <w:tmpl w:val="CF28D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8F78A1"/>
    <w:multiLevelType w:val="hybridMultilevel"/>
    <w:tmpl w:val="783E55A6"/>
    <w:lvl w:ilvl="0" w:tplc="A65ED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0D6542"/>
    <w:multiLevelType w:val="hybridMultilevel"/>
    <w:tmpl w:val="3A426110"/>
    <w:lvl w:ilvl="0" w:tplc="0724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AA50FD"/>
    <w:multiLevelType w:val="hybridMultilevel"/>
    <w:tmpl w:val="61E61F08"/>
    <w:lvl w:ilvl="0" w:tplc="B82E2C92">
      <w:start w:val="1"/>
      <w:numFmt w:val="upperLetter"/>
      <w:lvlText w:val="%1."/>
      <w:lvlJc w:val="left"/>
      <w:pPr>
        <w:ind w:left="1080" w:hanging="36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ED54AA4"/>
    <w:multiLevelType w:val="hybridMultilevel"/>
    <w:tmpl w:val="A1F0F6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A03E56"/>
    <w:multiLevelType w:val="multilevel"/>
    <w:tmpl w:val="5D6A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733FE3"/>
    <w:multiLevelType w:val="hybridMultilevel"/>
    <w:tmpl w:val="5E0456E0"/>
    <w:lvl w:ilvl="0" w:tplc="18609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AD04DC"/>
    <w:multiLevelType w:val="hybridMultilevel"/>
    <w:tmpl w:val="554476CA"/>
    <w:lvl w:ilvl="0" w:tplc="4C84F4A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784D0047"/>
    <w:multiLevelType w:val="hybridMultilevel"/>
    <w:tmpl w:val="B0EAACC0"/>
    <w:lvl w:ilvl="0" w:tplc="99D87024">
      <w:start w:val="1"/>
      <w:numFmt w:val="decimal"/>
      <w:lvlText w:val="(%1)"/>
      <w:lvlJc w:val="left"/>
      <w:pPr>
        <w:ind w:left="720" w:hanging="36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6"/>
  </w:num>
  <w:num w:numId="3">
    <w:abstractNumId w:val="7"/>
  </w:num>
  <w:num w:numId="4">
    <w:abstractNumId w:val="12"/>
  </w:num>
  <w:num w:numId="5">
    <w:abstractNumId w:val="8"/>
  </w:num>
  <w:num w:numId="6">
    <w:abstractNumId w:val="5"/>
  </w:num>
  <w:num w:numId="7">
    <w:abstractNumId w:val="15"/>
  </w:num>
  <w:num w:numId="8">
    <w:abstractNumId w:val="10"/>
  </w:num>
  <w:num w:numId="9">
    <w:abstractNumId w:val="4"/>
  </w:num>
  <w:num w:numId="10">
    <w:abstractNumId w:val="13"/>
  </w:num>
  <w:num w:numId="11">
    <w:abstractNumId w:val="0"/>
  </w:num>
  <w:num w:numId="12">
    <w:abstractNumId w:val="6"/>
  </w:num>
  <w:num w:numId="13">
    <w:abstractNumId w:val="1"/>
  </w:num>
  <w:num w:numId="14">
    <w:abstractNumId w:val="14"/>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E2"/>
    <w:rsid w:val="00004E7D"/>
    <w:rsid w:val="0001151A"/>
    <w:rsid w:val="0005741B"/>
    <w:rsid w:val="00061699"/>
    <w:rsid w:val="000740EF"/>
    <w:rsid w:val="00077F91"/>
    <w:rsid w:val="00091321"/>
    <w:rsid w:val="000A6BA7"/>
    <w:rsid w:val="000D0E1A"/>
    <w:rsid w:val="00100E83"/>
    <w:rsid w:val="00107E7D"/>
    <w:rsid w:val="00131370"/>
    <w:rsid w:val="00153E17"/>
    <w:rsid w:val="001566CD"/>
    <w:rsid w:val="001676B5"/>
    <w:rsid w:val="0018510B"/>
    <w:rsid w:val="001A62D1"/>
    <w:rsid w:val="001D2D3C"/>
    <w:rsid w:val="001E3889"/>
    <w:rsid w:val="00224386"/>
    <w:rsid w:val="00233FB3"/>
    <w:rsid w:val="00234F38"/>
    <w:rsid w:val="00235CE2"/>
    <w:rsid w:val="002565CF"/>
    <w:rsid w:val="002A4C56"/>
    <w:rsid w:val="002B7857"/>
    <w:rsid w:val="002E463D"/>
    <w:rsid w:val="002F2C7E"/>
    <w:rsid w:val="00347DA9"/>
    <w:rsid w:val="003D07B5"/>
    <w:rsid w:val="003D561D"/>
    <w:rsid w:val="003F4A26"/>
    <w:rsid w:val="003F5F08"/>
    <w:rsid w:val="00424A70"/>
    <w:rsid w:val="00425B0E"/>
    <w:rsid w:val="00443D7D"/>
    <w:rsid w:val="00495441"/>
    <w:rsid w:val="004C0010"/>
    <w:rsid w:val="004E71F1"/>
    <w:rsid w:val="00511F8C"/>
    <w:rsid w:val="005179BF"/>
    <w:rsid w:val="005B746C"/>
    <w:rsid w:val="005F0530"/>
    <w:rsid w:val="005F1047"/>
    <w:rsid w:val="005F61A0"/>
    <w:rsid w:val="00616405"/>
    <w:rsid w:val="006348BF"/>
    <w:rsid w:val="006409BE"/>
    <w:rsid w:val="00650DA3"/>
    <w:rsid w:val="00660276"/>
    <w:rsid w:val="006643BF"/>
    <w:rsid w:val="00682591"/>
    <w:rsid w:val="006932AE"/>
    <w:rsid w:val="006A46A8"/>
    <w:rsid w:val="006A4A2A"/>
    <w:rsid w:val="006D6227"/>
    <w:rsid w:val="0070449D"/>
    <w:rsid w:val="00720319"/>
    <w:rsid w:val="00720F4F"/>
    <w:rsid w:val="0072768B"/>
    <w:rsid w:val="00740DF7"/>
    <w:rsid w:val="007478E2"/>
    <w:rsid w:val="007549F5"/>
    <w:rsid w:val="00756E96"/>
    <w:rsid w:val="00766675"/>
    <w:rsid w:val="00766C38"/>
    <w:rsid w:val="00781F0A"/>
    <w:rsid w:val="007A21AA"/>
    <w:rsid w:val="007B7517"/>
    <w:rsid w:val="007D07A9"/>
    <w:rsid w:val="0083214B"/>
    <w:rsid w:val="00862070"/>
    <w:rsid w:val="008646C1"/>
    <w:rsid w:val="00874049"/>
    <w:rsid w:val="0089382E"/>
    <w:rsid w:val="0091405A"/>
    <w:rsid w:val="00917896"/>
    <w:rsid w:val="00926CB4"/>
    <w:rsid w:val="00952934"/>
    <w:rsid w:val="00963B37"/>
    <w:rsid w:val="00973193"/>
    <w:rsid w:val="00984C0A"/>
    <w:rsid w:val="009939CC"/>
    <w:rsid w:val="00993D85"/>
    <w:rsid w:val="00994C07"/>
    <w:rsid w:val="009A1E2C"/>
    <w:rsid w:val="009B1370"/>
    <w:rsid w:val="00A00682"/>
    <w:rsid w:val="00A016C1"/>
    <w:rsid w:val="00A11985"/>
    <w:rsid w:val="00A26FC0"/>
    <w:rsid w:val="00A6537A"/>
    <w:rsid w:val="00A82C5D"/>
    <w:rsid w:val="00A91BA2"/>
    <w:rsid w:val="00AA795E"/>
    <w:rsid w:val="00AB5CFE"/>
    <w:rsid w:val="00AC02B2"/>
    <w:rsid w:val="00AD2E8C"/>
    <w:rsid w:val="00AE72E8"/>
    <w:rsid w:val="00B03B8E"/>
    <w:rsid w:val="00B1709D"/>
    <w:rsid w:val="00B9729B"/>
    <w:rsid w:val="00BB6201"/>
    <w:rsid w:val="00BC7544"/>
    <w:rsid w:val="00BC7A77"/>
    <w:rsid w:val="00BD48B5"/>
    <w:rsid w:val="00BE3284"/>
    <w:rsid w:val="00BE6857"/>
    <w:rsid w:val="00BF46DF"/>
    <w:rsid w:val="00C57610"/>
    <w:rsid w:val="00C72321"/>
    <w:rsid w:val="00C73E09"/>
    <w:rsid w:val="00C74818"/>
    <w:rsid w:val="00C7543C"/>
    <w:rsid w:val="00CB5776"/>
    <w:rsid w:val="00D41B84"/>
    <w:rsid w:val="00D60F0D"/>
    <w:rsid w:val="00D722D6"/>
    <w:rsid w:val="00D739CC"/>
    <w:rsid w:val="00D74463"/>
    <w:rsid w:val="00D84721"/>
    <w:rsid w:val="00D95846"/>
    <w:rsid w:val="00DA20B9"/>
    <w:rsid w:val="00DD18F2"/>
    <w:rsid w:val="00DD1F3E"/>
    <w:rsid w:val="00DE6BEA"/>
    <w:rsid w:val="00DF1B1D"/>
    <w:rsid w:val="00E645D7"/>
    <w:rsid w:val="00EB31BF"/>
    <w:rsid w:val="00EE63C9"/>
    <w:rsid w:val="00EF08AE"/>
    <w:rsid w:val="00F05182"/>
    <w:rsid w:val="00F273A4"/>
    <w:rsid w:val="00F638FD"/>
    <w:rsid w:val="00F64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5F6B"/>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CE2"/>
    <w:pPr>
      <w:widowControl w:val="0"/>
    </w:pPr>
    <w:rPr>
      <w:rFonts w:ascii="Times New Roman" w:eastAsia="新細明體" w:hAnsi="Times New Roman" w:cs="Times New Roman"/>
      <w:szCs w:val="24"/>
    </w:rPr>
  </w:style>
  <w:style w:type="paragraph" w:styleId="3">
    <w:name w:val="heading 3"/>
    <w:basedOn w:val="a"/>
    <w:next w:val="a"/>
    <w:link w:val="30"/>
    <w:rsid w:val="0005741B"/>
    <w:pPr>
      <w:keepNext/>
      <w:keepLines/>
      <w:widowControl/>
      <w:pBdr>
        <w:top w:val="nil"/>
        <w:left w:val="nil"/>
        <w:bottom w:val="nil"/>
        <w:right w:val="nil"/>
        <w:between w:val="nil"/>
      </w:pBdr>
      <w:spacing w:before="320" w:after="80" w:line="276" w:lineRule="auto"/>
      <w:outlineLvl w:val="2"/>
    </w:pPr>
    <w:rPr>
      <w:rFonts w:ascii="Arial" w:eastAsiaTheme="minorEastAsia" w:hAnsi="Arial" w:cs="Arial"/>
      <w:color w:val="43434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3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05741B"/>
    <w:rPr>
      <w:rFonts w:ascii="Arial" w:hAnsi="Arial" w:cs="Arial"/>
      <w:color w:val="434343"/>
      <w:kern w:val="0"/>
      <w:sz w:val="28"/>
      <w:szCs w:val="28"/>
    </w:rPr>
  </w:style>
  <w:style w:type="character" w:styleId="a9">
    <w:name w:val="Placeholder Text"/>
    <w:basedOn w:val="a0"/>
    <w:uiPriority w:val="99"/>
    <w:semiHidden/>
    <w:rsid w:val="00F638FD"/>
    <w:rPr>
      <w:color w:val="808080"/>
    </w:rPr>
  </w:style>
  <w:style w:type="paragraph" w:styleId="Web">
    <w:name w:val="Normal (Web)"/>
    <w:basedOn w:val="a"/>
    <w:uiPriority w:val="99"/>
    <w:semiHidden/>
    <w:unhideWhenUsed/>
    <w:rsid w:val="005B746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29917">
      <w:bodyDiv w:val="1"/>
      <w:marLeft w:val="0"/>
      <w:marRight w:val="0"/>
      <w:marTop w:val="0"/>
      <w:marBottom w:val="0"/>
      <w:divBdr>
        <w:top w:val="none" w:sz="0" w:space="0" w:color="auto"/>
        <w:left w:val="none" w:sz="0" w:space="0" w:color="auto"/>
        <w:bottom w:val="none" w:sz="0" w:space="0" w:color="auto"/>
        <w:right w:val="none" w:sz="0" w:space="0" w:color="auto"/>
      </w:divBdr>
    </w:div>
    <w:div w:id="18258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莊美蓮</cp:lastModifiedBy>
  <cp:revision>22</cp:revision>
  <dcterms:created xsi:type="dcterms:W3CDTF">2024-05-03T02:08:00Z</dcterms:created>
  <dcterms:modified xsi:type="dcterms:W3CDTF">2024-05-03T02:35:00Z</dcterms:modified>
</cp:coreProperties>
</file>