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C242" w14:textId="77777777" w:rsidR="004F64F3" w:rsidRPr="009D1EE2" w:rsidRDefault="004F64F3" w:rsidP="004F64F3">
      <w:pPr>
        <w:spacing w:line="398" w:lineRule="auto"/>
        <w:ind w:left="3" w:hanging="3"/>
        <w:jc w:val="center"/>
        <w:rPr>
          <w:rFonts w:eastAsia="Times New Roman"/>
          <w:color w:val="000000" w:themeColor="text1"/>
        </w:rPr>
      </w:pPr>
      <w:r w:rsidRPr="009D1EE2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臺北市大同高中(國中部) 113 學年度領域/科目課程計畫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187"/>
        <w:gridCol w:w="1984"/>
        <w:gridCol w:w="3684"/>
        <w:gridCol w:w="1936"/>
        <w:gridCol w:w="971"/>
        <w:gridCol w:w="6592"/>
        <w:gridCol w:w="1617"/>
        <w:gridCol w:w="1617"/>
        <w:gridCol w:w="1618"/>
      </w:tblGrid>
      <w:tr w:rsidR="009D1EE2" w:rsidRPr="009D1EE2" w14:paraId="2E167442" w14:textId="77777777" w:rsidTr="00CA41F8">
        <w:trPr>
          <w:trHeight w:val="68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86E209" w14:textId="77777777" w:rsidR="00F72E91" w:rsidRPr="009D1EE2" w:rsidRDefault="00F72E91" w:rsidP="00F72E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領域/科目</w:t>
            </w:r>
          </w:p>
        </w:tc>
        <w:tc>
          <w:tcPr>
            <w:tcW w:w="20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81DD" w14:textId="0813FF3E" w:rsidR="00F72E91" w:rsidRPr="009D1EE2" w:rsidRDefault="00F72E91" w:rsidP="00F72E91">
            <w:pPr>
              <w:spacing w:line="33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</w:rPr>
              <w:t>□國語文□英語文□本土語文</w:t>
            </w:r>
            <w:r w:rsidRPr="009D1EE2">
              <w:rPr>
                <w:rFonts w:ascii="標楷體" w:eastAsia="標楷體" w:hAnsi="標楷體" w:cs="標楷體" w:hint="eastAsia"/>
                <w:color w:val="000000" w:themeColor="text1"/>
              </w:rPr>
              <w:t>■</w:t>
            </w:r>
            <w:r w:rsidRPr="009D1EE2">
              <w:rPr>
                <w:rFonts w:ascii="標楷體" w:eastAsia="標楷體" w:hAnsi="標楷體" w:cs="標楷體"/>
                <w:color w:val="000000" w:themeColor="text1"/>
              </w:rPr>
              <w:t>數學□社會(□歷史□地理□公民與社會)□自然科學(□理化□生物□地球科學)</w:t>
            </w:r>
          </w:p>
          <w:p w14:paraId="0D07DAAC" w14:textId="77777777" w:rsidR="00F72E91" w:rsidRPr="009D1EE2" w:rsidRDefault="00F72E91" w:rsidP="00F72E91">
            <w:pPr>
              <w:spacing w:line="33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</w:rPr>
              <w:t>□藝術(□音樂□視覺藝術□表演藝術)□綜合活動(□家政□童軍□輔導)□科技(□資訊科技□生活科技)</w:t>
            </w:r>
          </w:p>
          <w:p w14:paraId="309A64B6" w14:textId="015CC31E" w:rsidR="00F72E91" w:rsidRPr="009D1EE2" w:rsidRDefault="00F72E91" w:rsidP="00F72E91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</w:rPr>
              <w:t xml:space="preserve">□健康與體育(□健康教育□體育) </w:t>
            </w:r>
          </w:p>
        </w:tc>
      </w:tr>
      <w:tr w:rsidR="009D1EE2" w:rsidRPr="009D1EE2" w14:paraId="54F3EA31" w14:textId="77777777" w:rsidTr="00CA41F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76CF29" w14:textId="77777777" w:rsidR="007E1F7D" w:rsidRPr="009D1EE2" w:rsidRDefault="002D6B9B" w:rsidP="0067311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實施年級</w:t>
            </w:r>
          </w:p>
        </w:tc>
        <w:tc>
          <w:tcPr>
            <w:tcW w:w="20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20CD" w14:textId="11C86DC5" w:rsidR="007E1F7D" w:rsidRPr="009D1EE2" w:rsidRDefault="00F72E91" w:rsidP="00673117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7年級  □8年級 □9年級</w:t>
            </w:r>
          </w:p>
          <w:p w14:paraId="63552832" w14:textId="2CCB5A02" w:rsidR="007E1F7D" w:rsidRPr="009D1EE2" w:rsidRDefault="00F72E91" w:rsidP="00673117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上學期 </w:t>
            </w:r>
            <w:r w:rsidRPr="009D1E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下學期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2D6B9B" w:rsidRPr="009D1EE2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(若上下學期均開設者，請均註記)</w:t>
            </w:r>
          </w:p>
        </w:tc>
      </w:tr>
      <w:tr w:rsidR="009D1EE2" w:rsidRPr="009D1EE2" w14:paraId="0C2C23ED" w14:textId="77777777" w:rsidTr="00CA41F8">
        <w:trPr>
          <w:trHeight w:val="93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6C4673" w14:textId="77777777" w:rsidR="007E1F7D" w:rsidRPr="009D1EE2" w:rsidRDefault="002D6B9B" w:rsidP="0067311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教材版本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6BCA" w14:textId="50B27D82" w:rsidR="007E1F7D" w:rsidRPr="009D1EE2" w:rsidRDefault="00F72E91" w:rsidP="00673117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選用教科書: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康軒版  </w:t>
            </w:r>
            <w:r w:rsidR="002D6B9B"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734EFF31" w14:textId="77777777" w:rsidR="007E1F7D" w:rsidRPr="009D1EE2" w:rsidRDefault="002D6B9B" w:rsidP="00673117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00B3" w14:textId="77777777" w:rsidR="007E1F7D" w:rsidRPr="009D1EE2" w:rsidRDefault="002D6B9B" w:rsidP="0067311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AD39" w14:textId="4CC33C13" w:rsidR="007E1F7D" w:rsidRPr="009D1EE2" w:rsidRDefault="002D6B9B" w:rsidP="00F72E91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D1EE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學期內每週4節</w:t>
            </w:r>
          </w:p>
        </w:tc>
      </w:tr>
      <w:tr w:rsidR="00673117" w:rsidRPr="00C11A59" w14:paraId="19BE6508" w14:textId="77777777" w:rsidTr="00CA41F8">
        <w:trPr>
          <w:trHeight w:val="62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6AE1C3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363C530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0590A9FE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19D629CD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480E5D9C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6A2A1617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6B9E6A30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數-J-B3 具備辨認藝術作品中的幾何形體或數量關係的素養，並能在數學的推導中，享受數學之美。</w:t>
            </w:r>
          </w:p>
          <w:p w14:paraId="76A45784" w14:textId="77777777" w:rsidR="00B54984" w:rsidRDefault="002D6B9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數-J-C3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接納數學發展的全球性歷史與地理背景的素養。</w:t>
            </w:r>
          </w:p>
        </w:tc>
      </w:tr>
      <w:tr w:rsidR="00673117" w:rsidRPr="000C5E7C" w14:paraId="048B08B4" w14:textId="77777777" w:rsidTr="00CA41F8">
        <w:trPr>
          <w:trHeight w:val="48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6A3F9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33D468C" w14:textId="77777777" w:rsidR="007E1F7D" w:rsidRDefault="002D6B9B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47D60"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 w:rsidRPr="00147D60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</w:p>
          <w:p w14:paraId="39633283" w14:textId="2BF461D8" w:rsidR="007E1F7D" w:rsidRPr="00AA6B35" w:rsidRDefault="002D6B9B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25431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</w:t>
            </w:r>
            <w:r w:rsidRPr="00B25431">
              <w:rPr>
                <w:rFonts w:ascii="標楷體" w:eastAsia="標楷體" w:hAnsi="標楷體" w:cs="標楷體"/>
                <w:sz w:val="24"/>
                <w:szCs w:val="24"/>
              </w:rPr>
              <w:t>「正、負」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的意義以及在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的位置並</w:t>
            </w:r>
            <w:r w:rsidRPr="008A45E9">
              <w:rPr>
                <w:rFonts w:ascii="標楷體" w:eastAsia="標楷體" w:hAnsi="標楷體" w:cs="標楷體"/>
                <w:sz w:val="24"/>
                <w:szCs w:val="24"/>
              </w:rPr>
              <w:t>判</w:t>
            </w:r>
            <w:r w:rsidRPr="00F60579"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數的大小。</w:t>
            </w:r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能認識絕對值的符號，並理解絕對值在</w:t>
            </w:r>
            <w:proofErr w:type="gramStart"/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數線上的圖意</w:t>
            </w:r>
            <w:proofErr w:type="gramEnd"/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能了解正負整數的</w:t>
            </w:r>
            <w:proofErr w:type="gramStart"/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、結合律、</w:t>
            </w:r>
            <w:proofErr w:type="gramStart"/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分配</w:t>
            </w:r>
            <w:proofErr w:type="gramEnd"/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律、</w:t>
            </w:r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簡易應用</w:t>
            </w:r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與做整數的四則運算</w:t>
            </w:r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。能以10為底的指數表達自然科學領域常用的長度、重量、容積單位，</w:t>
            </w:r>
            <w:proofErr w:type="gramStart"/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如奈米</w:t>
            </w:r>
            <w:proofErr w:type="gramEnd"/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proofErr w:type="gramStart"/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微米</w:t>
            </w:r>
            <w:proofErr w:type="gramEnd"/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、公分或毫米等，其中含有負數次方的部分能轉換成小數。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能辨識質數、合數與知道正整數的質因數，並能</w:t>
            </w:r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做質因數分解。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理解互質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，並</w:t>
            </w:r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利用短除法或質因數分解找出兩個數或三個數的最大公因數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或最小公倍數</w:t>
            </w:r>
            <w:r w:rsidR="00422888">
              <w:rPr>
                <w:rFonts w:ascii="標楷體" w:eastAsia="標楷體" w:hAnsi="標楷體" w:cs="標楷體" w:hint="eastAsia"/>
                <w:sz w:val="24"/>
                <w:szCs w:val="24"/>
              </w:rPr>
              <w:t>，並</w:t>
            </w:r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利用最大公因數與最小公倍數解決日常生活中的問題</w:t>
            </w:r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  <w:r w:rsidRPr="00CC3404">
              <w:rPr>
                <w:rFonts w:ascii="標楷體" w:eastAsia="標楷體" w:hAnsi="標楷體" w:cs="標楷體"/>
                <w:sz w:val="24"/>
                <w:szCs w:val="24"/>
              </w:rPr>
              <w:t>能熟練數的四則運算</w:t>
            </w:r>
            <w:r w:rsidR="00422888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="00422888" w:rsidRPr="005F7F1E">
              <w:rPr>
                <w:rFonts w:ascii="標楷體" w:eastAsia="標楷體" w:hAnsi="標楷體" w:cs="標楷體"/>
                <w:sz w:val="24"/>
                <w:szCs w:val="24"/>
              </w:rPr>
              <w:t>乘方的運算</w:t>
            </w:r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，且理解</w:t>
            </w:r>
            <w:r w:rsidR="00422888" w:rsidRPr="00CC3404">
              <w:rPr>
                <w:rFonts w:ascii="標楷體" w:eastAsia="標楷體" w:hAnsi="標楷體" w:cs="標楷體"/>
                <w:sz w:val="24"/>
                <w:szCs w:val="24"/>
              </w:rPr>
              <w:t>分數乘方的意義</w:t>
            </w:r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="00422888" w:rsidRPr="00CC3404">
              <w:rPr>
                <w:rFonts w:ascii="標楷體" w:eastAsia="標楷體" w:hAnsi="標楷體" w:cs="標楷體"/>
                <w:sz w:val="24"/>
                <w:szCs w:val="24"/>
              </w:rPr>
              <w:t>同底數相乘或相除的指數律</w:t>
            </w:r>
            <w:r w:rsidR="00422888">
              <w:rPr>
                <w:rFonts w:ascii="標楷體" w:eastAsia="標楷體" w:hAnsi="標楷體" w:cs="標楷體"/>
                <w:sz w:val="24"/>
                <w:szCs w:val="24"/>
              </w:rPr>
              <w:t>，並比較其大小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能以x、y等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文字</w:t>
            </w:r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符號列出一元</w:t>
            </w:r>
            <w:proofErr w:type="gramStart"/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一次式並化</w:t>
            </w:r>
            <w:proofErr w:type="gramEnd"/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能將文字符號所代表的數代入代數式</w:t>
            </w:r>
            <w:proofErr w:type="gramStart"/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中求值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並</w:t>
            </w:r>
            <w:proofErr w:type="gramEnd"/>
            <w:r w:rsidRPr="005F7F1E">
              <w:rPr>
                <w:rFonts w:ascii="標楷體" w:eastAsia="標楷體" w:hAnsi="標楷體" w:cs="標楷體"/>
                <w:sz w:val="24"/>
                <w:szCs w:val="24"/>
              </w:rPr>
              <w:t>運用數的運算規則進行代數式的運算。</w:t>
            </w:r>
            <w:r w:rsidRPr="007A421C">
              <w:rPr>
                <w:rFonts w:ascii="標楷體" w:eastAsia="標楷體" w:hAnsi="標楷體" w:cs="標楷體"/>
                <w:sz w:val="24"/>
                <w:szCs w:val="24"/>
              </w:rPr>
              <w:t>能理解一元一次方程式解的意義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，並利用</w:t>
            </w:r>
            <w:r w:rsidRPr="00CC3404">
              <w:rPr>
                <w:rFonts w:ascii="標楷體" w:eastAsia="標楷體" w:hAnsi="標楷體" w:cs="標楷體"/>
                <w:sz w:val="24"/>
                <w:szCs w:val="24"/>
              </w:rPr>
              <w:t>等量公理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CC3404">
              <w:rPr>
                <w:rFonts w:ascii="標楷體" w:eastAsia="標楷體" w:hAnsi="標楷體" w:cs="標楷體"/>
                <w:sz w:val="24"/>
                <w:szCs w:val="24"/>
              </w:rPr>
              <w:t>移項法則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解</w:t>
            </w:r>
            <w:r w:rsidRPr="007A421C">
              <w:rPr>
                <w:rFonts w:ascii="標楷體" w:eastAsia="標楷體" w:hAnsi="標楷體" w:cs="標楷體"/>
                <w:sz w:val="24"/>
                <w:szCs w:val="24"/>
              </w:rPr>
              <w:t>一元一次方程式，並作驗算。能由具體情境中列出一元一次方程式並解題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，且能</w:t>
            </w:r>
            <w:r w:rsidRPr="00CC3404">
              <w:rPr>
                <w:rFonts w:ascii="標楷體" w:eastAsia="標楷體" w:hAnsi="標楷體" w:cs="標楷體"/>
                <w:sz w:val="24"/>
                <w:szCs w:val="24"/>
              </w:rPr>
              <w:t>檢驗所求得的解是否合乎題意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2D959F5C" w14:textId="77777777" w:rsidR="007E1F7D" w:rsidRDefault="002D6B9B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0356F"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 w:rsidRPr="00C0356F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</w:p>
          <w:p w14:paraId="0EE50F5C" w14:textId="124A9A3B" w:rsidR="007E1F7D" w:rsidRDefault="002D6B9B" w:rsidP="00422888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能理解二元一次聯立方程式，及其解的意義，並能由具體情境中列出二元一次聯立方程式。能熟練使用</w:t>
            </w:r>
            <w:proofErr w:type="gramStart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代入消去</w:t>
            </w:r>
            <w:proofErr w:type="gramEnd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法與加減消去法解二元一次方程式的解。能理解平面直角坐標系</w:t>
            </w:r>
            <w:r w:rsidR="00422888">
              <w:rPr>
                <w:rFonts w:ascii="標楷體" w:eastAsia="標楷體" w:hAnsi="標楷體" w:cs="標楷體" w:hint="eastAsia"/>
                <w:sz w:val="24"/>
                <w:szCs w:val="24"/>
              </w:rPr>
              <w:t>，並</w:t>
            </w:r>
            <w:r w:rsidR="00422888" w:rsidRPr="00CE4E04">
              <w:rPr>
                <w:rFonts w:ascii="標楷體" w:eastAsia="標楷體" w:hAnsi="標楷體" w:cs="標楷體"/>
                <w:sz w:val="24"/>
                <w:szCs w:val="24"/>
              </w:rPr>
              <w:t>在直角坐標平面上描繪二元一次方程式的圖形</w:t>
            </w:r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。能理解二元一次</w:t>
            </w:r>
            <w:proofErr w:type="gramStart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聯立方程式的幾何</w:t>
            </w:r>
            <w:proofErr w:type="gramEnd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意義。能理解比、比例式、正比、反比的意義，並能解決生活中有關比例的問題。能熟練</w:t>
            </w:r>
            <w:proofErr w:type="gramStart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比例式的基本</w:t>
            </w:r>
            <w:proofErr w:type="gramEnd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運算。能理解不等式的意義</w:t>
            </w:r>
            <w:r w:rsidR="00422888">
              <w:rPr>
                <w:rFonts w:ascii="標楷體" w:eastAsia="標楷體" w:hAnsi="標楷體" w:cs="標楷體" w:hint="eastAsia"/>
                <w:sz w:val="24"/>
                <w:szCs w:val="24"/>
              </w:rPr>
              <w:t>，並</w:t>
            </w:r>
            <w:r w:rsidR="00422888" w:rsidRPr="00CE4E04">
              <w:rPr>
                <w:rFonts w:ascii="標楷體" w:eastAsia="標楷體" w:hAnsi="標楷體" w:cs="標楷體"/>
                <w:sz w:val="24"/>
                <w:szCs w:val="24"/>
              </w:rPr>
              <w:t>由具體情境中列出簡單的一元一次不等式。</w:t>
            </w:r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能解出一元一次不等式，並在</w:t>
            </w:r>
            <w:proofErr w:type="gramStart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CE4E04">
              <w:rPr>
                <w:rFonts w:ascii="標楷體" w:eastAsia="標楷體" w:hAnsi="標楷體" w:cs="標楷體"/>
                <w:sz w:val="24"/>
                <w:szCs w:val="24"/>
              </w:rPr>
              <w:t>標示相關的線段。能將原始資料整理成次數分配表，並製作統計圖形，來顯示資料蘊含的意義。能報讀或解讀生活中的統計圖表。認識平均數、中位數與眾數。認識點、直線、線段、射線、角、三角形、多邊形、正多邊形及其符號的標示。能理解線對稱圖形的意義及做出線對稱的圖形。能理解立體圖形視圖的意義及繪製對應方向的視圖，並根據視圖判斷觀察的方向。</w:t>
            </w:r>
          </w:p>
        </w:tc>
      </w:tr>
      <w:tr w:rsidR="00673117" w:rsidRPr="003255DF" w14:paraId="6FA26AD1" w14:textId="77777777" w:rsidTr="005D063A">
        <w:trPr>
          <w:trHeight w:val="207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D9916B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</w:t>
            </w:r>
            <w:proofErr w:type="gramStart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A046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4E35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2A9C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76F8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C8D6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673117" w:rsidRPr="003255DF" w14:paraId="5A605B4A" w14:textId="77777777" w:rsidTr="005D063A">
        <w:trPr>
          <w:trHeight w:val="55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8D327" w14:textId="77777777" w:rsidR="007E1F7D" w:rsidRPr="00872EC7" w:rsidRDefault="007E1F7D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697E" w14:textId="77777777" w:rsidR="007E1F7D" w:rsidRPr="00872EC7" w:rsidRDefault="007E1F7D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D6F3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E964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753F" w14:textId="77777777" w:rsidR="007E1F7D" w:rsidRPr="00872EC7" w:rsidRDefault="007E1F7D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DC83" w14:textId="77777777" w:rsidR="007E1F7D" w:rsidRPr="00872EC7" w:rsidRDefault="007E1F7D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5359" w14:textId="77777777" w:rsidR="007E1F7D" w:rsidRPr="00872EC7" w:rsidRDefault="007E1F7D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6B4ECF00" w14:textId="77777777" w:rsidTr="005D063A">
        <w:trPr>
          <w:trHeight w:val="416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D4915" w14:textId="77777777" w:rsidR="00CA41F8" w:rsidRDefault="00CA41F8" w:rsidP="00CA41F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</w:p>
          <w:p w14:paraId="2791A021" w14:textId="49D2CE9D" w:rsidR="00CA41F8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14:paraId="3D9B1D8B" w14:textId="55737816" w:rsidR="00CA41F8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C93A69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8A9C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負數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與數線</w:t>
            </w:r>
            <w:proofErr w:type="gramEnd"/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72E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6FA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3E6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474F919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5685069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85A351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1C8B111C" w14:textId="47B32DE3" w:rsidR="00CA41F8" w:rsidRPr="00673117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2615" w14:textId="7F984FD0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B5DE" w14:textId="4955E754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324AC57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82C89" w14:textId="14B61007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14F39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142D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545F69">
              <w:rPr>
                <w:rFonts w:ascii="標楷體" w:eastAsia="標楷體" w:hAnsi="標楷體" w:cs="標楷體"/>
                <w:sz w:val="24"/>
                <w:szCs w:val="24"/>
              </w:rPr>
              <w:t>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負數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與數線</w:t>
            </w:r>
            <w:proofErr w:type="gramEnd"/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CD5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C8B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3B79F83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N-7-5 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擴充至含負數的數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線；比較數的大小；絕對值的意義；以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│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a－b│表示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上兩點a、b的距離。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C14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0A2F71F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593456D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7F459D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4.上台演示</w:t>
            </w:r>
          </w:p>
          <w:p w14:paraId="4BF1EA5A" w14:textId="04273785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E0E0" w14:textId="196FC32A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A778" w14:textId="113AD7A6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3B821589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46849" w14:textId="0D243F9F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19AD3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767B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E446A">
              <w:rPr>
                <w:rFonts w:ascii="標楷體" w:eastAsia="標楷體" w:hAnsi="標楷體" w:cs="標楷體"/>
                <w:sz w:val="24"/>
                <w:szCs w:val="24"/>
              </w:rPr>
              <w:t>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整</w:t>
            </w:r>
            <w:r w:rsidRPr="003E446A">
              <w:rPr>
                <w:rFonts w:ascii="標楷體" w:eastAsia="標楷體" w:hAnsi="標楷體" w:cs="標楷體"/>
                <w:sz w:val="24"/>
                <w:szCs w:val="24"/>
              </w:rPr>
              <w:t>數的加減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20D3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3E2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04954A8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N-7-4 </w:t>
            </w:r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數的運算規律：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；結合律；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分配律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；－(a＋b)＝－a－b；－(a－b)＝－a＋b。</w:t>
            </w:r>
          </w:p>
          <w:p w14:paraId="6E599C8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N-7-5 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擴充至含負數的數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線；比較數的大小；絕對值的意義；以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│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a－b│表示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上兩點a、b的距離。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941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7B2DCFE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78E98E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248D3B2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CF829D1" w14:textId="5922069A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5ED5" w14:textId="6F9EDD26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EAEA" w14:textId="3C96F22A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D01C61D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0EC6F" w14:textId="471BF55B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B12A0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55B9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E446A">
              <w:rPr>
                <w:rFonts w:ascii="標楷體" w:eastAsia="標楷體" w:hAnsi="標楷體" w:cs="標楷體"/>
                <w:sz w:val="24"/>
                <w:szCs w:val="24"/>
              </w:rPr>
              <w:t>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整</w:t>
            </w:r>
            <w:r w:rsidRPr="003E446A">
              <w:rPr>
                <w:rFonts w:ascii="標楷體" w:eastAsia="標楷體" w:hAnsi="標楷體" w:cs="標楷體"/>
                <w:sz w:val="24"/>
                <w:szCs w:val="24"/>
              </w:rPr>
              <w:t>數的加減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6CA0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2ED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2680933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N-7-4 </w:t>
            </w:r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數的運算規律：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；結合律；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分配律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；－(a＋b)＝－a－b；－(a－b)＝－a＋b。</w:t>
            </w:r>
          </w:p>
          <w:p w14:paraId="2D9BBBA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N-7-5 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擴充至含負數的數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線；比較數的大小；絕對值的意義；以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│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a－b│表示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上兩點a、b的距離。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DB4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A389D6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8FAFAA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3F6F36D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54AEC9E9" w14:textId="28975283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EFF9" w14:textId="5BBC2C3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E638" w14:textId="05D51CBD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372D1B8E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A2338" w14:textId="1D411D40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60FA1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9018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1-3整數的乘除與四則運算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C54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34F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2C06C63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N-7-4 </w:t>
            </w:r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數的運算規律：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；結合律；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分配律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；－(a＋b)＝－a－b；－(a－b)＝－a＋b。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A7B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183DD64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1751F72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3E833DB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41C4955E" w14:textId="4BE3E901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98DC" w14:textId="5CFE13FE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DDB5" w14:textId="5CF9249A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1087FAE8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6F645" w14:textId="35768450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28D2E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EEE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1-3整數的乘除與四則運算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58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117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1116F89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N-7-4 </w:t>
            </w:r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數的運算規律：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；結合律；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分配律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；－(a＋b)＝－a－b；－(a－b)＝－a＋b。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004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73A43F9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7F286CA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CDE2D8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5F907D05" w14:textId="028621B7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08B7" w14:textId="4F62DC1F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28D9" w14:textId="1A51CE45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71022DCF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14350" w14:textId="4382B14A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03445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1D98" w14:textId="77777777" w:rsidR="00CA41F8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1-4指數記法與科學記號</w:t>
            </w:r>
          </w:p>
          <w:p w14:paraId="19864AF4" w14:textId="03507FFB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531F4">
              <w:rPr>
                <w:rFonts w:ascii="標楷體" w:eastAsia="標楷體" w:hAnsi="標楷體" w:cs="標楷體"/>
                <w:sz w:val="24"/>
                <w:szCs w:val="24"/>
              </w:rPr>
              <w:t>【第一次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  <w:r w:rsidRPr="00B531F4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3A7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n-Ⅳ-3 </w:t>
            </w:r>
            <w:proofErr w:type="gram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理解非負整數</w:t>
            </w:r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FB6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N-7-6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指數的意義：指數</w:t>
            </w:r>
            <w:proofErr w:type="gram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為非負整數</w:t>
            </w:r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的次方；a≠0時a</w:t>
            </w:r>
            <w:r w:rsidRPr="00CC6E1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0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＝1；同底數的大小比較；指數的運算。</w:t>
            </w:r>
          </w:p>
          <w:p w14:paraId="096F22B1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N-7-8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E31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599A044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4A25CA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63CA269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7C8C4AF3" w14:textId="5D38906E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3769" w14:textId="7EB81175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9E8D" w14:textId="1EA36DCD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7E753E90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44CF1" w14:textId="02A4D920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8A55F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609" w14:textId="77777777" w:rsidR="00CA41F8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2-1因數與倍數</w:t>
            </w:r>
          </w:p>
          <w:p w14:paraId="29234005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D71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n-Ⅳ-1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181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N-7-1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100以內的質數：質數和合數的定義；質數</w:t>
            </w:r>
            <w:proofErr w:type="gram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的篩法</w:t>
            </w:r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CA1697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N-7-2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22A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251C51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5603098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D924C4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6C278934" w14:textId="00850269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DEBC" w14:textId="1033EA7C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8F11" w14:textId="7682BA59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A510D77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E0DC6" w14:textId="11235C16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361B0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610B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2-1因數與倍數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E77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n-Ⅳ-1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C5D4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N-7-1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100以內的質數：質數和合數的定義；質數</w:t>
            </w:r>
            <w:proofErr w:type="gram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的篩法</w:t>
            </w:r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F002AB0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N-7-2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B14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ECE5B5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D93DA9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7C35006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51F70E35" w14:textId="185E83A9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34EB" w14:textId="3FA3E678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E0D4" w14:textId="32B75E28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38C32E4A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E7004" w14:textId="72FBBA28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BFE80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656A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2-2最大公因數與最小公倍數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897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n-Ⅳ-1 </w:t>
            </w:r>
            <w:r w:rsidRPr="00DB098E">
              <w:rPr>
                <w:rFonts w:ascii="標楷體" w:eastAsia="標楷體" w:hAnsi="標楷體" w:cs="標楷體"/>
                <w:sz w:val="24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B08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N-7-2 </w:t>
            </w:r>
            <w:r w:rsidRPr="00DB098E">
              <w:rPr>
                <w:rFonts w:ascii="標楷體" w:eastAsia="標楷體" w:hAnsi="標楷體" w:cs="標楷體"/>
                <w:sz w:val="24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3B1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2B774E0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1AFA415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3.口頭回答</w:t>
            </w:r>
          </w:p>
          <w:p w14:paraId="0DAA2AD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3A128E51" w14:textId="543A00FF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9A21" w14:textId="1A867558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ED08" w14:textId="0DCD5D71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553E4088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39351" w14:textId="593F06C5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75A5F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E772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2-2最大公因數與最小公倍數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E0D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n-Ⅳ-1 </w:t>
            </w:r>
            <w:r w:rsidRPr="00DB098E">
              <w:rPr>
                <w:rFonts w:ascii="標楷體" w:eastAsia="標楷體" w:hAnsi="標楷體" w:cs="標楷體"/>
                <w:sz w:val="24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B5F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N-7-2 </w:t>
            </w:r>
            <w:r w:rsidRPr="00DB098E">
              <w:rPr>
                <w:rFonts w:ascii="標楷體" w:eastAsia="標楷體" w:hAnsi="標楷體" w:cs="標楷體"/>
                <w:sz w:val="24"/>
                <w:szCs w:val="24"/>
              </w:rPr>
              <w:t>質因數分解的標準分解式：質因數分解的標準分解式，並能用於求因數及倍數的問題。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EFE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68D7FC61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40FA0D6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53E1CF8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4BE0E685" w14:textId="18E48D4C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3B25" w14:textId="3182D48C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E669" w14:textId="33507AC6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91FAF44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E7AF2" w14:textId="52591722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F7214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2CC6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2-3分數的四則運算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B0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E8A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2BEF46B4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N-7-4 </w:t>
            </w:r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數的運算規律：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；結合律；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分配律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；－(a＋b)＝－a－b；－(a－b)＝－a＋b。</w:t>
            </w:r>
          </w:p>
          <w:p w14:paraId="157840C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N-7-5 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擴充至含負數的數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線；比較數的大小；絕對值的意義；以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│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a－b│表示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上兩點a、b的距離。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87E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1DE8C3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11B54DD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73788F6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C4C1B30" w14:textId="7322D2EF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CAC8" w14:textId="1E039E41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2A61" w14:textId="0320D7CE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756FEE3C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3B059" w14:textId="3E480571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12EB5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B091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2-3分數的四則運算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8A3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n-Ⅳ-2 理解負數之意義、符號與在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的表示，並熟練其四則運算，且能運用到日常生活的情境解決問題。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03CD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N-7-3 </w:t>
            </w:r>
            <w:r w:rsidRPr="0056507F">
              <w:rPr>
                <w:rFonts w:ascii="標楷體" w:eastAsia="標楷體" w:hAnsi="標楷體" w:cs="標楷體"/>
                <w:sz w:val="24"/>
                <w:szCs w:val="24"/>
              </w:rPr>
              <w:t>負數與數的四則混合運算(含分數、小數)：使用「正、負」表徵生活中的量；相反數；數的四則混合運算。</w:t>
            </w:r>
          </w:p>
          <w:p w14:paraId="1C747C3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N-7-4 </w:t>
            </w:r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數的運算規律：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交換律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；結合律；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分配律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；－(a＋b)＝－a－b；－(a－b)＝－a＋b。</w:t>
            </w:r>
          </w:p>
          <w:p w14:paraId="3BCDC19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N-7-5 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擴充至含負數的數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線；比較數的大小；絕對值的意義；以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│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a－b│表示</w:t>
            </w:r>
            <w:proofErr w:type="gramStart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數線</w:t>
            </w:r>
            <w:proofErr w:type="gramEnd"/>
            <w:r w:rsidRPr="001C2EB2">
              <w:rPr>
                <w:rFonts w:ascii="標楷體" w:eastAsia="標楷體" w:hAnsi="標楷體" w:cs="標楷體"/>
                <w:sz w:val="24"/>
                <w:szCs w:val="24"/>
              </w:rPr>
              <w:t>上兩點a、b的距離。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C9E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14D95E7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720AA46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1D519F5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048CB414" w14:textId="5F5BA98B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82EB" w14:textId="6712A3AA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47C4" w14:textId="0BDAE1BC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27F4DCA5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3714D" w14:textId="5D643135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E7A68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9CAE" w14:textId="77777777" w:rsidR="00CA41F8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2-4指數律</w:t>
            </w:r>
          </w:p>
          <w:p w14:paraId="06B9A232" w14:textId="2980D9CB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531F4">
              <w:rPr>
                <w:rFonts w:ascii="標楷體" w:eastAsia="標楷體" w:hAnsi="標楷體" w:cs="標楷體"/>
                <w:sz w:val="24"/>
                <w:szCs w:val="24"/>
              </w:rPr>
              <w:t>【第二次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  <w:r w:rsidRPr="00B531F4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099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n-Ⅳ-3 </w:t>
            </w:r>
            <w:proofErr w:type="gram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理解非負整數</w:t>
            </w:r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7BE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N-7-6 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指數的意義：指數</w:t>
            </w:r>
            <w:proofErr w:type="gram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為非負整數</w:t>
            </w:r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的次方；a≠0時a</w:t>
            </w:r>
            <w:r w:rsidRPr="00CC6E1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0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＝1；同底數的大小比較；指數的運算。</w:t>
            </w:r>
          </w:p>
          <w:p w14:paraId="4B74999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N-7-7 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指數律：以數字例表示「同底數的乘法指數律」（</w:t>
            </w:r>
            <w:proofErr w:type="spell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 w:rsidRPr="00517E3F"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m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×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=</w:t>
            </w:r>
            <w:proofErr w:type="spell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m+n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、(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 w:rsidRPr="00517E3F"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m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=</w:t>
            </w:r>
            <w:proofErr w:type="spell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 w:rsidRPr="00517E3F"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m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、(</w:t>
            </w:r>
            <w:proofErr w:type="spell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×</w:t>
            </w:r>
            <w:r w:rsidRPr="00F56D45">
              <w:rPr>
                <w:rFonts w:ascii="標楷體" w:eastAsia="標楷體" w:hAnsi="標楷體" w:cs="標楷體"/>
                <w:sz w:val="24"/>
                <w:szCs w:val="24"/>
              </w:rPr>
              <w:t>b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=</w:t>
            </w:r>
            <w:proofErr w:type="spellStart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×</w:t>
            </w:r>
            <w:r w:rsidRPr="00F56D45">
              <w:rPr>
                <w:rFonts w:ascii="標楷體" w:eastAsia="標楷體" w:hAnsi="標楷體" w:cs="標楷體"/>
                <w:sz w:val="24"/>
                <w:szCs w:val="24"/>
              </w:rPr>
              <w:t>b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，其中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m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為非負整數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）；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以數字例表示「同底數的除法指數律」</w:t>
            </w:r>
            <w:proofErr w:type="gramStart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spellStart"/>
            <w:proofErr w:type="gramEnd"/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 w:rsidRPr="00517E3F"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m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÷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=</w:t>
            </w:r>
            <w:r w:rsidRPr="00CC6E14">
              <w:rPr>
                <w:rFonts w:ascii="標楷體" w:eastAsia="標楷體" w:hAnsi="標楷體" w:cs="標楷體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i/>
                <w:sz w:val="16"/>
                <w:szCs w:val="16"/>
                <w:vertAlign w:val="superscript"/>
              </w:rPr>
              <w:t>m-n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，其中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m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且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m</w:t>
            </w:r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n</w:t>
            </w:r>
            <w:proofErr w:type="spellEnd"/>
            <w:r w:rsidRPr="00517E3F">
              <w:rPr>
                <w:rFonts w:ascii="標楷體" w:eastAsia="標楷體" w:hAnsi="標楷體" w:cs="標楷體"/>
                <w:sz w:val="24"/>
                <w:szCs w:val="24"/>
              </w:rPr>
              <w:t>為非負整數）。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7F7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0A7AD2D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4F7B30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D9B654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0E5D2718" w14:textId="5D8A2927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317E" w14:textId="7837E046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786F" w14:textId="511D9DB4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71B0F184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160C2" w14:textId="7B4576AE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9EE5F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865C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3-1代數式的化簡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34B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理解並應用符號及文字敘述表達概念、運算、推理及證明。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1A4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A-7-1 </w:t>
            </w: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代數符號：以代數符號表徵</w:t>
            </w:r>
            <w:proofErr w:type="gramStart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交換律、分配律</w:t>
            </w:r>
            <w:proofErr w:type="gramEnd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、結合律；一次</w:t>
            </w:r>
            <w:proofErr w:type="gramStart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式的化簡及</w:t>
            </w:r>
            <w:proofErr w:type="gramEnd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同類項；以符號記錄生活中的情境問題。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5A5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BFCFBF2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735A572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6BCEE7C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6AD76CF0" w14:textId="7B9FCC48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233A" w14:textId="31275C4C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0ED0" w14:textId="12A3CE20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278F23A0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E4F61" w14:textId="1384DF2B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7FF4E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F640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3-1代數式的化簡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E7D0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a-Ⅳ-1 </w:t>
            </w: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理解並應用符號及文字敘述表達概念、運算、推理及證明。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0C5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A-7-1 </w:t>
            </w: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代數符號：以代數符號表徵</w:t>
            </w:r>
            <w:proofErr w:type="gramStart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交換律、分配律</w:t>
            </w:r>
            <w:proofErr w:type="gramEnd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、結合律；一次</w:t>
            </w:r>
            <w:proofErr w:type="gramStart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式的化簡及</w:t>
            </w:r>
            <w:proofErr w:type="gramEnd"/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同類項；以符號記錄生活中的情境問題。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570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D3D8222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7BB61CF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14829FB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3C04B2D9" w14:textId="7236749D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487E" w14:textId="525845CA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D812" w14:textId="4E0C8BB4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2556573C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678FB" w14:textId="74E10873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C1671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BE0C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3-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元一次方程式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B9C3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3AC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A-7-2 </w:t>
            </w:r>
            <w:r w:rsidRPr="008A45E9">
              <w:rPr>
                <w:rFonts w:ascii="標楷體" w:eastAsia="標楷體" w:hAnsi="標楷體" w:cs="標楷體"/>
                <w:sz w:val="24"/>
                <w:szCs w:val="24"/>
              </w:rPr>
              <w:t>一元一次方程式的意義：一元一次方程式及其解的意義；具體情境中列出一元一次方程式。</w:t>
            </w:r>
          </w:p>
          <w:p w14:paraId="4B8B4620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A-7-3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1D2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20BB0EE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43379FB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7F7FE1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2B02543" w14:textId="0FDC59F5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1A3B" w14:textId="313F0259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510E" w14:textId="1F7A4893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6C51E529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D67C5" w14:textId="4EBC651A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2DBA4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EBC9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3-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元一次方程式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434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E82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A-7-3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C9D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1200AE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354F79F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506D31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7FE867A5" w14:textId="31DD1BCF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6A90" w14:textId="0419869E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D70C" w14:textId="5949ED18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28AFF561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15533" w14:textId="60C04C6D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E5062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84B0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3-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3應用問題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198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DFE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A-7-3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780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58698F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57A7B95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587EF901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4C5686FA" w14:textId="1A237B80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082D" w14:textId="7F09EDD9" w:rsidR="009D1EE2" w:rsidRDefault="009D1EE2" w:rsidP="009D1EE2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標楷體"/>
              </w:rPr>
              <w:t>【</w:t>
            </w:r>
            <w:r>
              <w:rPr>
                <w:rFonts w:hint="eastAsia"/>
                <w:sz w:val="23"/>
                <w:szCs w:val="23"/>
              </w:rPr>
              <w:t>生涯規劃教育</w:t>
            </w:r>
            <w:bookmarkStart w:id="0" w:name="_GoBack"/>
            <w:bookmarkEnd w:id="0"/>
            <w:r>
              <w:rPr>
                <w:rFonts w:eastAsia="標楷體"/>
              </w:rPr>
              <w:t>】</w:t>
            </w:r>
            <w:r>
              <w:rPr>
                <w:rFonts w:hint="eastAsia"/>
                <w:sz w:val="23"/>
                <w:szCs w:val="23"/>
              </w:rPr>
              <w:t>涯</w:t>
            </w:r>
            <w:r>
              <w:rPr>
                <w:sz w:val="23"/>
                <w:szCs w:val="23"/>
              </w:rPr>
              <w:t>J1</w:t>
            </w:r>
            <w:r>
              <w:rPr>
                <w:rFonts w:hint="eastAsia"/>
                <w:sz w:val="23"/>
                <w:szCs w:val="23"/>
              </w:rPr>
              <w:t>了解生涯規劃的意義與功能。</w:t>
            </w:r>
          </w:p>
          <w:p w14:paraId="254297A7" w14:textId="6675665E" w:rsidR="00CA41F8" w:rsidRPr="009D1EE2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ACC0" w14:textId="624E0728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6D99C413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5437D" w14:textId="733D8CB6" w:rsidR="00CA41F8" w:rsidRDefault="00CA41F8" w:rsidP="00F251B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BD32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F623" w14:textId="0F20B3D5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6338B">
              <w:rPr>
                <w:rFonts w:ascii="標楷體" w:eastAsia="標楷體" w:hAnsi="標楷體" w:cs="標楷體"/>
                <w:sz w:val="24"/>
                <w:szCs w:val="24"/>
              </w:rPr>
              <w:t>3-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3應用問題</w:t>
            </w:r>
            <w:r w:rsidR="009D1EE2" w:rsidRPr="00B7033C">
              <w:rPr>
                <w:rFonts w:ascii="標楷體" w:eastAsia="標楷體" w:hAnsi="標楷體" w:cs="標楷體"/>
                <w:sz w:val="24"/>
                <w:szCs w:val="24"/>
              </w:rPr>
              <w:t>【第三次</w:t>
            </w:r>
            <w:r w:rsidR="009D1EE2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  <w:r w:rsidR="009D1EE2" w:rsidRPr="00B7033C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9349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a-Ⅳ-2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5C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A-7-3 </w:t>
            </w:r>
            <w:r w:rsidRPr="008F06C1">
              <w:rPr>
                <w:rFonts w:ascii="標楷體" w:eastAsia="標楷體" w:hAnsi="標楷體" w:cs="標楷體"/>
                <w:sz w:val="24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C74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7F28943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52CAC12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760871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1F9B7C24" w14:textId="5D2ACD8D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4FA2" w14:textId="2C3E411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F5DB" w14:textId="40E50003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01611E08" w14:textId="77777777" w:rsidTr="005D063A">
        <w:trPr>
          <w:trHeight w:val="416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F3C27" w14:textId="77777777" w:rsidR="00CA41F8" w:rsidRDefault="00CA41F8" w:rsidP="00CA41F8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</w:p>
          <w:p w14:paraId="3FE96655" w14:textId="4BD16291" w:rsidR="00CA41F8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79820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0E3E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1-1二元一次方程式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3BDC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50DE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聯立方程式的意義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解的意義；具體情境中列出二元一次聯立方程式。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4EB4" w14:textId="77777777" w:rsidR="00CA41F8" w:rsidRPr="00F47389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1. 紙筆測驗</w:t>
            </w:r>
          </w:p>
          <w:p w14:paraId="49F34B79" w14:textId="77777777" w:rsidR="00CA41F8" w:rsidRPr="00F47389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2. 互相討論</w:t>
            </w:r>
          </w:p>
          <w:p w14:paraId="15A33302" w14:textId="77777777" w:rsidR="00CA41F8" w:rsidRPr="00F47389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3. 口頭回答</w:t>
            </w:r>
          </w:p>
          <w:p w14:paraId="30E8833B" w14:textId="77777777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4. 作業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5AC" w14:textId="1DA2D293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55FB" w14:textId="668F2C49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153B057D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D3F4" w14:textId="30D9C291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4F037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3246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1-2解二元一次聯立方程式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7C2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1EA3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聯立方程式的解法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與應用：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代入消去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法；加減消去法；應用問題。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506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59EAE6C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3A3D05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5E7C32A1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0A1CD27B" w14:textId="5DAF3DF4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A7C6" w14:textId="488DA349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4454" w14:textId="0A751404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55723BB6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E3E04" w14:textId="122B6CBE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DDC5F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F5D6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1-2解二元一次聯立方程式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FDF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C3C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聯立方程式的解法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與應用：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代入消去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法；加減消去法；應用問題。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A8C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5CCE894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7A752EF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7C98F46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41CC56A1" w14:textId="12E518B8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6C60" w14:textId="21F064F5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757D" w14:textId="7CBE0C72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75868CE8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9A656" w14:textId="0D294602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EF653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BA1F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1-3應用問題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2DA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12D9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聯立方程式的解法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與應用：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代入消去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法；加減消去法；應用問題。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109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56C9381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07A806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769D07B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A74554D" w14:textId="013F0ECC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B268" w14:textId="0DEB402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33FF" w14:textId="1E5DC214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1592631E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8A73A" w14:textId="6E2F45B0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943B28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3444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1-3應用問題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DA2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3F59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聯立方程式的解法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與應用：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代入消去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法；加減消去法；應用問題。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E682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2C48D0E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084342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6AD148A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7A2519CE" w14:textId="79DE21DC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7D7C" w14:textId="0C8215BD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CD79" w14:textId="1508C534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593E357D" w14:textId="77777777" w:rsidTr="005D063A">
        <w:trPr>
          <w:trHeight w:val="416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64E" w14:textId="000527CF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3ED9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F3BB" w14:textId="77777777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2-1直角坐標平面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322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g-Ⅳ-1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380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G-7-1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17E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7381470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418E3F5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0920D33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DBED375" w14:textId="4B527F1A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7767" w14:textId="17CE2C63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6ADB" w14:textId="7588AFD3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6C057472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6E5C2" w14:textId="4DAF9128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92C27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A47E" w14:textId="77777777" w:rsidR="00CA41F8" w:rsidRPr="00F47389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2-1直角坐標平面</w:t>
            </w:r>
          </w:p>
          <w:p w14:paraId="3BF644D3" w14:textId="2027518E" w:rsidR="00CA41F8" w:rsidRPr="00DA591D" w:rsidRDefault="00CA41F8" w:rsidP="00CA41F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【第一次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1E54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g-Ⅳ-1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67E4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G-7-1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77B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4C6A5BC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74EB329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113C00A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67C1989D" w14:textId="45F157C3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F9D5" w14:textId="48DEEE8C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0DF0" w14:textId="5B8999D2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6B5D973E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133D4" w14:textId="19E09616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E2627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93B7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2-2二元一次方程式的圖形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9C6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  <w:p w14:paraId="6FA951B0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g-Ⅳ-2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在直角坐標上能描繪與理解二元一次方程式的直線圖形，以及二元一次聯立方程式唯一解的幾何意義。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B0F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A-7-6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聯立方程式的幾何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意義：</w:t>
            </w:r>
            <w:proofErr w:type="spell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ax+by</w:t>
            </w:r>
            <w:proofErr w:type="spell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=c的圖形；y=c的圖形(水平線)；x=c的圖形(鉛垂線)；二元一次聯立方程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式的解只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處理相交且只有一個交點的情況。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BB0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34FF56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1D86712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9AF748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5F4428D" w14:textId="6B1641F2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F45" w14:textId="595555F5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4B68" w14:textId="2B7241DC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27B96F0E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003CA" w14:textId="2F5D3BF9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E085E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C986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2-2二元一次方程式的圖形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1B01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  <w:p w14:paraId="5F63E2F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g-Ⅳ-2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在直角坐標上能描繪與理解二元一次方程式的直線圖形，以及二元一次聯立方程式唯一解的幾何意義。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AD6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A-7-6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聯立方程式的幾何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意義：</w:t>
            </w:r>
            <w:proofErr w:type="spell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ax+by</w:t>
            </w:r>
            <w:proofErr w:type="spell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=c的圖形；y=c的圖形(水平線)；x=c的圖形(鉛垂線)；二元一次聯立方程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式的解只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處理相交且只有一個交點的情況。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E061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641F948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A92984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54E79D79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503B8C5F" w14:textId="54911D12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E2B4" w14:textId="6A20912B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C0A5" w14:textId="39CF8B52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BED4F70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64242" w14:textId="065764F8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88D1C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2851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3-1比例式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674C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理解比、比例式、正比、反比和連比的意義和推理，並能運用到日常生活的情境解決問題。</w:t>
            </w:r>
          </w:p>
          <w:p w14:paraId="68CC871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EF01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CF6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0CD793C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454D590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35DB85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05F2EDFA" w14:textId="7D76988E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D609" w14:textId="5E8DB9C2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CCD9" w14:textId="7E6E0A4A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0950BD0E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D54C6" w14:textId="70DD537A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A2F03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3BF7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3-1比例式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D3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理解比、比例式、正比、反比和連比的意義和推理，並能運用到日常生活的情境解決問題。</w:t>
            </w:r>
          </w:p>
          <w:p w14:paraId="6CB8093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A9E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D58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7E8956B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75D18CA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030E474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4A26ACBB" w14:textId="55D12976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D7ED" w14:textId="1AA3D62A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689A" w14:textId="7E1C317F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6377FA9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18525" w14:textId="1F8A67A4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DCC16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3459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3-2正比與反比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F15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理解比、比例式、正比、反比和連比的意義和推理，並能運用到日常生活的情境解決問題。</w:t>
            </w:r>
          </w:p>
          <w:p w14:paraId="257E09C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8843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C62B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15B13CD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4B778FB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4D1659A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487E229C" w14:textId="3033A408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E140" w14:textId="50ED95B8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1849" w14:textId="1A5BDB02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102A99A8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959C0" w14:textId="3416E245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4EF0A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6019" w14:textId="77777777" w:rsidR="00CA41F8" w:rsidRPr="00DF7E3E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7E3E">
              <w:rPr>
                <w:rFonts w:ascii="標楷體" w:eastAsia="標楷體" w:hAnsi="標楷體" w:cs="標楷體"/>
                <w:sz w:val="24"/>
                <w:szCs w:val="24"/>
              </w:rPr>
              <w:t>3-2正比與反比</w:t>
            </w:r>
          </w:p>
          <w:p w14:paraId="73FA7685" w14:textId="4FB008DE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F7E3E">
              <w:rPr>
                <w:rFonts w:ascii="標楷體" w:eastAsia="標楷體" w:hAnsi="標楷體" w:cs="標楷體"/>
                <w:sz w:val="24"/>
                <w:szCs w:val="24"/>
              </w:rPr>
              <w:t>【第二次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  <w:r w:rsidRPr="00DF7E3E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CB8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n-Ⅳ-4 </w:t>
            </w:r>
            <w:r w:rsidRPr="00DF7E3E">
              <w:rPr>
                <w:rFonts w:ascii="標楷體" w:eastAsia="標楷體" w:hAnsi="標楷體" w:cs="標楷體"/>
                <w:sz w:val="24"/>
                <w:szCs w:val="24"/>
              </w:rPr>
              <w:t>理解比、比例式、正比、反比和連比的意義和推理，並能運用到日常生活的情境解決問題。</w:t>
            </w:r>
          </w:p>
          <w:p w14:paraId="5C0A7DD1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DF7E3E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B17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N-7-9 </w:t>
            </w:r>
            <w:r w:rsidRPr="00DF7E3E">
              <w:rPr>
                <w:rFonts w:ascii="標楷體" w:eastAsia="標楷體" w:hAnsi="標楷體" w:cs="標楷體"/>
                <w:sz w:val="24"/>
                <w:szCs w:val="24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64B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57F5838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0C30EB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56171E19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3D30B7A0" w14:textId="4FEA8CB5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3CE1" w14:textId="18CD5D31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E85" w14:textId="4595A450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D89DA47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586BD" w14:textId="1E44BE7D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EF027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ECCB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4-1認識一元一次不等式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25C8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理解一元一次不等式的意義，並應用於標示數的範圍和其在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的圖形，以及使用不等式的數學符號描述情境，與人溝通。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0AD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A-7-7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一元一次不等式的意義：不等式的意義；具體情境中列出一元一次不等式。</w:t>
            </w:r>
          </w:p>
          <w:p w14:paraId="2407129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A-7-8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標示解的範圍；應用問題。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E6C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17443AFD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F97C0B2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6BC83CC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16FA2050" w14:textId="7BCFE558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3DF5" w14:textId="680D5540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C022" w14:textId="197CE942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639A7111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7AE6F" w14:textId="76AF8EB9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BAD98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6ED1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4-2解一元一次不等式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3686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理解一元一次不等式的意義，並應用於標示數的範圍和其在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的圖形，以及使用不等式的數學符號描述情境，與人溝通。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6A0E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A-7-8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標示解的範圍；應用問題。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DC4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20BC2FE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6E862753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2B9F91C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3148C8B" w14:textId="23A7D45C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8A30" w14:textId="417191C3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06B1" w14:textId="628C7501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22313165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07EEE" w14:textId="2975C4A5" w:rsidR="00CA41F8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23D90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93A1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4-2解一元一次不等式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AEB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a-Ⅳ-3 </w:t>
            </w:r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理解一元一次不等式的意義，並應用於標示數的範圍和其在</w:t>
            </w:r>
            <w:proofErr w:type="gramStart"/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的圖形，以及使用不等式的數學符號描述情境，與人溝通。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94A3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A-7-8 </w:t>
            </w:r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一元一次不等式的解與應用：單一的一元一次不等式的解；在</w:t>
            </w:r>
            <w:proofErr w:type="gramStart"/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94750C">
              <w:rPr>
                <w:rFonts w:ascii="標楷體" w:eastAsia="標楷體" w:hAnsi="標楷體" w:cs="標楷體"/>
                <w:sz w:val="24"/>
                <w:szCs w:val="24"/>
              </w:rPr>
              <w:t>標示解的範圍；應用問題。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04F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36AD2F0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2CF21256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5DB62B35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2380DD39" w14:textId="30A47269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C42B" w14:textId="20EBCC8A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525A" w14:textId="3CF1BCFB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090E6B55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0BC58" w14:textId="2605C9BB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64ED7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63E7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5-1統計圖表與資料分析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479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20BA7DC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d-Ⅳ-1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6861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D-7-1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統計圖表：蒐集生活中常見的數據資料，整理並繪製成含有原始資料或百分率的統計圖表：</w:t>
            </w:r>
            <w:proofErr w:type="gramStart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直方圖</w:t>
            </w:r>
            <w:proofErr w:type="gramEnd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、長條圖、圓形圖、折線圖、</w:t>
            </w:r>
            <w:proofErr w:type="gramStart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列聯</w:t>
            </w:r>
            <w:proofErr w:type="gramEnd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表。遇到複雜數據時可使用計算機輔助，教師可使用電腦應用軟體演示教授。</w:t>
            </w:r>
          </w:p>
          <w:p w14:paraId="7F491B57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D-7-2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統計數據：用平均數、中位數與眾數描述一組資料的特性；使用計算機的「M+」或「Σ」鍵計算平均數。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35D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03F923B7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7DBCAF9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16065B5F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6770A42A" w14:textId="0CEC05BC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04E5" w14:textId="1254A2B4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9CDB" w14:textId="11129E6E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78579407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85354" w14:textId="4718D1F7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180E0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F686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6-1垂直、線對稱與三視圖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7B1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理解常用幾何形體的定義、符號、性質，並應用於幾何問題的解題。</w:t>
            </w:r>
          </w:p>
          <w:p w14:paraId="4F674B9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s-Ⅳ-3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理解兩條直線的垂直和平行的意義，以及各種性質，並能應用於解決幾何與日常生活的問題。</w:t>
            </w:r>
          </w:p>
          <w:p w14:paraId="48CCFA2A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理解線對稱的意義和線對稱圖形的幾何性質，並能應用於解決幾何與日常生活的問題。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EA3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S-7-1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簡單圖形與幾何符號：點、線、線段、射線、角、三角形與其符號的介紹。</w:t>
            </w:r>
          </w:p>
          <w:p w14:paraId="4A16E1F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S-7-3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垂直：垂直的符號；線段的中垂線；點到直線距離的意義。</w:t>
            </w:r>
          </w:p>
          <w:p w14:paraId="6AE8DF75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S-7-4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線對稱的性質：對稱線段等長；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對稱角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相等；對稱點的連線段會被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對稱軸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垂直平分。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0CD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23FEF63E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07396359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3FA4F10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5A9D9932" w14:textId="35BE5229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3A9C" w14:textId="19D0C876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6ED3" w14:textId="53F28478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1243C243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6C8A7" w14:textId="1E3BD211" w:rsidR="00CA41F8" w:rsidRDefault="00CA41F8" w:rsidP="0067311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C8F1B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A984" w14:textId="77777777" w:rsidR="00CA41F8" w:rsidRPr="00DA591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6-1垂直、線對稱與三視圖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1B52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理解線對稱的意義和線對稱圖形的幾何性質，並能應用於解決幾何與日常生活的問題。</w:t>
            </w:r>
          </w:p>
          <w:p w14:paraId="4683080F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s-Ⅳ-16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F72D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S-7-2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三視圖：立體圖形的前視圖、上視圖、左(右)視圖。立體圖形限制內嵌於3×3×3的正方體且不得中空。</w:t>
            </w:r>
          </w:p>
          <w:p w14:paraId="3D8F3704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S-7-4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線對稱的性質：對稱線段等長；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對稱角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相等；對稱點的連線段會被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對稱軸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垂直平分。</w:t>
            </w:r>
          </w:p>
          <w:p w14:paraId="3A3E5ABD" w14:textId="77777777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S-7-5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線對稱的基本圖形：等腰三角形；正方形；菱形；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箏形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；正多邊形。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787C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1.紙筆測驗</w:t>
            </w:r>
          </w:p>
          <w:p w14:paraId="602AF128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2.小組討論</w:t>
            </w:r>
          </w:p>
          <w:p w14:paraId="6A7269A4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3.口頭回答</w:t>
            </w:r>
          </w:p>
          <w:p w14:paraId="424B97D0" w14:textId="77777777" w:rsidR="00CA41F8" w:rsidRPr="00673117" w:rsidRDefault="00CA41F8" w:rsidP="00673117">
            <w:pPr>
              <w:spacing w:line="2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4.上台演示</w:t>
            </w:r>
          </w:p>
          <w:p w14:paraId="189E3F27" w14:textId="690BDB3B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5.作業繳交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A3CF" w14:textId="1AB74773" w:rsidR="00CA41F8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F884" w14:textId="79A71AAD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A41F8" w:rsidRPr="003255DF" w14:paraId="47191EEF" w14:textId="77777777" w:rsidTr="005D063A">
        <w:trPr>
          <w:trHeight w:val="416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043CE" w14:textId="77F687C6" w:rsidR="00CA41F8" w:rsidRDefault="00CA41F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609E7" w14:textId="77777777" w:rsidR="00CA41F8" w:rsidRPr="00DA591D" w:rsidRDefault="00CA41F8" w:rsidP="00CA41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DB7B" w14:textId="77777777" w:rsidR="00CA41F8" w:rsidRPr="00E35C5D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5C5D">
              <w:rPr>
                <w:rFonts w:ascii="標楷體" w:eastAsia="標楷體" w:hAnsi="標楷體" w:cs="標楷體"/>
                <w:sz w:val="24"/>
                <w:szCs w:val="24"/>
              </w:rPr>
              <w:t>總複習</w:t>
            </w:r>
          </w:p>
          <w:p w14:paraId="5D3EBB33" w14:textId="39EDFB4D" w:rsidR="00CA41F8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範圍：1-1~6-1</w:t>
            </w:r>
          </w:p>
          <w:p w14:paraId="4AA0723D" w14:textId="6A8E1EC0" w:rsidR="00CA41F8" w:rsidRPr="007E1779" w:rsidRDefault="00CA41F8" w:rsidP="005D063A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7033C">
              <w:rPr>
                <w:rFonts w:ascii="標楷體" w:eastAsia="標楷體" w:hAnsi="標楷體" w:cs="標楷體"/>
                <w:sz w:val="24"/>
                <w:szCs w:val="24"/>
              </w:rPr>
              <w:t>【第三次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  <w:r w:rsidRPr="00B7033C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586B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解的意義，並能以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去法與加減消去法求解和驗算，以及能運用到日常生活的情境解決問題。</w:t>
            </w:r>
          </w:p>
          <w:p w14:paraId="4D8BB492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理解比、比例式、正比、反比和連比的意義和推理，並能運用到日常生活的情境解決問題。</w:t>
            </w:r>
          </w:p>
          <w:p w14:paraId="039B2B9F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n-Ⅳ-9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72E5196C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g-Ⅳ-1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認識直角坐標的意義與構成要素，並能報讀與標示坐標點，以及計算兩個坐標點的距離。</w:t>
            </w:r>
          </w:p>
          <w:p w14:paraId="5A0D39F2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g-Ⅳ-2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在直角坐標上能描繪與理解二元一次方程式的直線圖形，以及二元一次聯立方程式唯一解的幾何意義。</w:t>
            </w:r>
          </w:p>
          <w:p w14:paraId="4874E08A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d-Ⅳ-1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EFFD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A-7-4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聯立方程式的意義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聯立方程式及其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解的意義；具體情境中列出二元一次聯立方程式。</w:t>
            </w:r>
          </w:p>
          <w:p w14:paraId="3EC19F4B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A-7-5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二元一次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聯立方程式的解法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與應用：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代入消去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法；加減消去法；應用問題。</w:t>
            </w:r>
          </w:p>
          <w:p w14:paraId="2508C6AE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A-7-7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一元一次不等式的意義：不等式的意義；具體情境中列出一元一次不等式。</w:t>
            </w:r>
          </w:p>
          <w:p w14:paraId="5CBAD128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A-7-8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數線上</w:t>
            </w:r>
            <w:proofErr w:type="gramEnd"/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標示解的範圍；應用問題。</w:t>
            </w:r>
          </w:p>
          <w:p w14:paraId="05F6E478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N-7-9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比與比例式：比；比例式；正比；反比；相關之基本運算與應用問題，教學情境應以有意義之比值為例。</w:t>
            </w:r>
          </w:p>
          <w:p w14:paraId="6BA78983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G-7-1 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平面直角坐標系：以平面直角坐標系、方位距離標定位置；平面直角坐標系及其相關術語（縱軸、橫軸、象限）。</w:t>
            </w:r>
          </w:p>
          <w:p w14:paraId="15535018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D-7-1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統計圖表：蒐集生活中常見的數據資料，整理並繪製成含有原始資料或百分率的統計圖表：</w:t>
            </w:r>
            <w:proofErr w:type="gramStart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直方圖</w:t>
            </w:r>
            <w:proofErr w:type="gramEnd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、長條圖、圓形圖、折線圖、</w:t>
            </w:r>
            <w:proofErr w:type="gramStart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列聯</w:t>
            </w:r>
            <w:proofErr w:type="gramEnd"/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表。遇到複雜數據時可使用計算機輔助，教師可使用電腦應用軟體演示教授。</w:t>
            </w:r>
          </w:p>
          <w:p w14:paraId="3834529B" w14:textId="77777777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D-7-2 </w:t>
            </w:r>
            <w:r w:rsidRPr="00A60512">
              <w:rPr>
                <w:rFonts w:ascii="標楷體" w:eastAsia="標楷體" w:hAnsi="標楷體" w:cs="標楷體"/>
                <w:sz w:val="24"/>
                <w:szCs w:val="24"/>
              </w:rPr>
              <w:t>統計數據：用平均數、中位數與眾數描述一組資料的特性；使用計算機的「M+」或「Σ」鍵計算平均數。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CC64" w14:textId="77777777" w:rsidR="00CA41F8" w:rsidRPr="00F47389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 紙筆測驗</w:t>
            </w:r>
          </w:p>
          <w:p w14:paraId="3F1AE821" w14:textId="100C77A0" w:rsidR="00CA41F8" w:rsidRPr="00DA591D" w:rsidRDefault="00CA41F8" w:rsidP="0067311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 xml:space="preserve">2. </w:t>
            </w:r>
            <w:r w:rsidRPr="00673117">
              <w:rPr>
                <w:rFonts w:ascii="標楷體" w:eastAsia="標楷體" w:hAnsi="標楷體" w:cs="標楷體"/>
                <w:sz w:val="24"/>
                <w:szCs w:val="24"/>
              </w:rPr>
              <w:t>小組</w:t>
            </w:r>
            <w:r w:rsidRPr="00F47389">
              <w:rPr>
                <w:rFonts w:ascii="標楷體" w:eastAsia="標楷體" w:hAnsi="標楷體" w:cs="標楷體"/>
                <w:sz w:val="24"/>
                <w:szCs w:val="24"/>
              </w:rPr>
              <w:t>討論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CFE" w14:textId="2C097B86" w:rsidR="00CA41F8" w:rsidRDefault="00CA41F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4237" w14:textId="043CD023" w:rsidR="00CA41F8" w:rsidRPr="00DA591D" w:rsidRDefault="00CA41F8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673117" w:rsidRPr="003255DF" w14:paraId="7E296226" w14:textId="77777777" w:rsidTr="00CA41F8">
        <w:trPr>
          <w:trHeight w:val="7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D570A8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14:paraId="134F9947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EDC4" w14:textId="26E2BAB5" w:rsidR="007E1F7D" w:rsidRPr="005D063A" w:rsidRDefault="0072595B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D063A">
              <w:rPr>
                <w:rFonts w:ascii="標楷體" w:eastAsia="標楷體" w:hAnsi="標楷體" w:cs="新細明體" w:hint="eastAsia"/>
                <w:sz w:val="24"/>
                <w:szCs w:val="24"/>
              </w:rPr>
              <w:t>黑板、</w:t>
            </w:r>
            <w:r w:rsidR="005D063A" w:rsidRPr="005D063A">
              <w:rPr>
                <w:rFonts w:eastAsia="標楷體"/>
                <w:sz w:val="24"/>
                <w:szCs w:val="24"/>
              </w:rPr>
              <w:t>電腦、</w:t>
            </w:r>
            <w:proofErr w:type="gramStart"/>
            <w:r w:rsidR="005D063A" w:rsidRPr="005D063A">
              <w:rPr>
                <w:rFonts w:eastAsia="標楷體" w:hint="eastAsia"/>
                <w:sz w:val="24"/>
                <w:szCs w:val="24"/>
              </w:rPr>
              <w:t>大屏觸</w:t>
            </w:r>
            <w:proofErr w:type="gramEnd"/>
            <w:r w:rsidR="005D063A" w:rsidRPr="005D063A">
              <w:rPr>
                <w:rFonts w:eastAsia="標楷體" w:hint="eastAsia"/>
                <w:sz w:val="24"/>
                <w:szCs w:val="24"/>
              </w:rPr>
              <w:t>控顯示器</w:t>
            </w:r>
          </w:p>
        </w:tc>
      </w:tr>
      <w:tr w:rsidR="00673117" w:rsidRPr="003255DF" w14:paraId="59CC7D0F" w14:textId="77777777" w:rsidTr="00CA41F8">
        <w:trPr>
          <w:trHeight w:val="7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74604" w14:textId="77777777" w:rsidR="007E1F7D" w:rsidRPr="00872EC7" w:rsidRDefault="002D6B9B" w:rsidP="0067311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C4D1" w14:textId="77777777" w:rsidR="007E1F7D" w:rsidRPr="00872EC7" w:rsidRDefault="007E1F7D" w:rsidP="0067311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14E6A176" w14:textId="77777777" w:rsidR="007E1F7D" w:rsidRPr="00D9075F" w:rsidRDefault="007E1F7D" w:rsidP="00673117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7E1F7D" w:rsidRPr="00D9075F" w:rsidSect="00377640">
      <w:footerReference w:type="default" r:id="rId8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8198" w14:textId="77777777" w:rsidR="00B41F1C" w:rsidRDefault="00B41F1C">
      <w:r>
        <w:separator/>
      </w:r>
    </w:p>
  </w:endnote>
  <w:endnote w:type="continuationSeparator" w:id="0">
    <w:p w14:paraId="65E20F4A" w14:textId="77777777" w:rsidR="00B41F1C" w:rsidRDefault="00B4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E913" w14:textId="77777777" w:rsidR="00673117" w:rsidRDefault="006731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F2329">
      <w:rPr>
        <w:noProof/>
        <w:lang w:val="zh-TW"/>
      </w:rPr>
      <w:t>1</w:t>
    </w:r>
    <w:r>
      <w:fldChar w:fldCharType="end"/>
    </w:r>
  </w:p>
  <w:p w14:paraId="59713E90" w14:textId="77777777" w:rsidR="00673117" w:rsidRDefault="0067311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7FD7" w14:textId="77777777" w:rsidR="00B41F1C" w:rsidRDefault="00B41F1C">
      <w:r>
        <w:separator/>
      </w:r>
    </w:p>
  </w:footnote>
  <w:footnote w:type="continuationSeparator" w:id="0">
    <w:p w14:paraId="23B92E5A" w14:textId="77777777" w:rsidR="00B41F1C" w:rsidRDefault="00B4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84"/>
    <w:rsid w:val="002D6B9B"/>
    <w:rsid w:val="00377640"/>
    <w:rsid w:val="00422888"/>
    <w:rsid w:val="004F64F3"/>
    <w:rsid w:val="005C4CF4"/>
    <w:rsid w:val="005D063A"/>
    <w:rsid w:val="00673117"/>
    <w:rsid w:val="0072595B"/>
    <w:rsid w:val="007E1F7D"/>
    <w:rsid w:val="00847CA1"/>
    <w:rsid w:val="009D1EE2"/>
    <w:rsid w:val="00B070F7"/>
    <w:rsid w:val="00B41F1C"/>
    <w:rsid w:val="00B54984"/>
    <w:rsid w:val="00CA41F8"/>
    <w:rsid w:val="00F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B6D5"/>
  <w15:docId w15:val="{4AC5643E-E122-4BAC-9BC9-2B7331C0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7B84-927D-49E8-A0AB-22CD48BB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user</cp:lastModifiedBy>
  <cp:revision>5</cp:revision>
  <dcterms:created xsi:type="dcterms:W3CDTF">2024-05-13T04:45:00Z</dcterms:created>
  <dcterms:modified xsi:type="dcterms:W3CDTF">2024-05-15T05:22:00Z</dcterms:modified>
</cp:coreProperties>
</file>