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2A44" w14:textId="226211AF" w:rsidR="00B66274" w:rsidRPr="00C547B7" w:rsidRDefault="009C5656" w:rsidP="009C5656">
      <w:pPr>
        <w:jc w:val="center"/>
        <w:rPr>
          <w:rFonts w:eastAsia="標楷體"/>
          <w:sz w:val="28"/>
          <w:szCs w:val="28"/>
        </w:rPr>
      </w:pPr>
      <w:r w:rsidRPr="00C547B7">
        <w:rPr>
          <w:rFonts w:eastAsia="標楷體"/>
          <w:sz w:val="28"/>
          <w:szCs w:val="28"/>
        </w:rPr>
        <w:t>臺北市立大同高級中學</w:t>
      </w:r>
      <w:r w:rsidRPr="00C547B7">
        <w:rPr>
          <w:rFonts w:eastAsia="標楷體"/>
          <w:sz w:val="28"/>
          <w:szCs w:val="28"/>
        </w:rPr>
        <w:t xml:space="preserve"> 11</w:t>
      </w:r>
      <w:r w:rsidR="000C155F">
        <w:rPr>
          <w:rFonts w:eastAsia="標楷體"/>
          <w:sz w:val="28"/>
          <w:szCs w:val="28"/>
        </w:rPr>
        <w:t>2</w:t>
      </w:r>
      <w:r w:rsidRPr="00C547B7">
        <w:rPr>
          <w:rFonts w:eastAsia="標楷體"/>
          <w:sz w:val="28"/>
          <w:szCs w:val="28"/>
        </w:rPr>
        <w:t>學年度第</w:t>
      </w:r>
      <w:r w:rsidR="000C155F">
        <w:rPr>
          <w:rFonts w:eastAsia="標楷體"/>
          <w:sz w:val="28"/>
          <w:szCs w:val="28"/>
        </w:rPr>
        <w:t>1</w:t>
      </w:r>
      <w:r w:rsidRPr="00C547B7">
        <w:rPr>
          <w:rFonts w:eastAsia="標楷體"/>
          <w:sz w:val="28"/>
          <w:szCs w:val="28"/>
        </w:rPr>
        <w:t>學期</w:t>
      </w:r>
      <w:r w:rsidRPr="00C547B7">
        <w:rPr>
          <w:rFonts w:eastAsia="標楷體"/>
          <w:sz w:val="28"/>
          <w:szCs w:val="28"/>
        </w:rPr>
        <w:t xml:space="preserve">  </w:t>
      </w:r>
      <w:r w:rsidRPr="00C547B7">
        <w:rPr>
          <w:rFonts w:eastAsia="標楷體"/>
          <w:sz w:val="28"/>
          <w:szCs w:val="28"/>
        </w:rPr>
        <w:t>國中數學領域</w:t>
      </w:r>
      <w:r w:rsidRPr="00C547B7">
        <w:rPr>
          <w:rFonts w:eastAsia="標楷體"/>
          <w:sz w:val="28"/>
          <w:szCs w:val="28"/>
        </w:rPr>
        <w:t xml:space="preserve"> </w:t>
      </w:r>
    </w:p>
    <w:p w14:paraId="07E37070" w14:textId="54D8EBCA" w:rsidR="00B66274" w:rsidRPr="00C547B7" w:rsidRDefault="009C5656" w:rsidP="009C5656">
      <w:pPr>
        <w:jc w:val="center"/>
        <w:rPr>
          <w:rFonts w:eastAsia="標楷體"/>
          <w:sz w:val="28"/>
          <w:szCs w:val="28"/>
        </w:rPr>
      </w:pPr>
      <w:r w:rsidRPr="00C547B7">
        <w:rPr>
          <w:rFonts w:eastAsia="標楷體"/>
          <w:sz w:val="28"/>
          <w:szCs w:val="28"/>
        </w:rPr>
        <w:t>第</w:t>
      </w:r>
      <w:r w:rsidR="000C155F">
        <w:rPr>
          <w:rFonts w:eastAsia="標楷體"/>
          <w:sz w:val="28"/>
          <w:szCs w:val="28"/>
        </w:rPr>
        <w:t>2</w:t>
      </w:r>
      <w:r w:rsidRPr="00C547B7">
        <w:rPr>
          <w:rFonts w:eastAsia="標楷體"/>
          <w:sz w:val="28"/>
          <w:szCs w:val="28"/>
        </w:rPr>
        <w:t>次會議紀錄</w:t>
      </w:r>
    </w:p>
    <w:p w14:paraId="3B5D245F" w14:textId="77777777" w:rsidR="00B66274" w:rsidRPr="00C547B7" w:rsidRDefault="00B66274">
      <w:pPr>
        <w:jc w:val="center"/>
        <w:rPr>
          <w:rFonts w:eastAsia="標楷體"/>
          <w:sz w:val="28"/>
          <w:szCs w:val="28"/>
        </w:rPr>
      </w:pPr>
    </w:p>
    <w:p w14:paraId="7F492660" w14:textId="7319210E" w:rsidR="00B66274" w:rsidRPr="00C547B7" w:rsidRDefault="009C5656" w:rsidP="000C155F">
      <w:pPr>
        <w:numPr>
          <w:ilvl w:val="0"/>
          <w:numId w:val="1"/>
        </w:numPr>
        <w:ind w:left="426" w:hanging="426"/>
        <w:rPr>
          <w:rFonts w:eastAsia="標楷體"/>
        </w:rPr>
      </w:pPr>
      <w:r w:rsidRPr="00C547B7">
        <w:rPr>
          <w:rFonts w:eastAsia="標楷體"/>
        </w:rPr>
        <w:t>時間：民國</w:t>
      </w:r>
      <w:r w:rsidRPr="00C547B7">
        <w:rPr>
          <w:rFonts w:eastAsia="標楷體"/>
        </w:rPr>
        <w:t>11</w:t>
      </w:r>
      <w:r w:rsidR="00C547B7" w:rsidRPr="00C547B7">
        <w:rPr>
          <w:rFonts w:eastAsia="標楷體"/>
        </w:rPr>
        <w:t>2</w:t>
      </w:r>
      <w:r w:rsidRPr="00C547B7">
        <w:rPr>
          <w:rFonts w:eastAsia="標楷體"/>
        </w:rPr>
        <w:t>年</w:t>
      </w:r>
      <w:r w:rsidR="000C155F">
        <w:rPr>
          <w:rFonts w:eastAsia="標楷體"/>
        </w:rPr>
        <w:t>9</w:t>
      </w:r>
      <w:r w:rsidRPr="00C547B7">
        <w:rPr>
          <w:rFonts w:eastAsia="標楷體"/>
        </w:rPr>
        <w:t>月</w:t>
      </w:r>
      <w:r w:rsidR="000C155F">
        <w:rPr>
          <w:rFonts w:eastAsia="標楷體"/>
        </w:rPr>
        <w:t>20</w:t>
      </w:r>
      <w:r w:rsidRPr="00C547B7">
        <w:rPr>
          <w:rFonts w:eastAsia="標楷體"/>
        </w:rPr>
        <w:t>日</w:t>
      </w:r>
      <w:r w:rsidRPr="00C547B7">
        <w:rPr>
          <w:rFonts w:eastAsia="標楷體"/>
        </w:rPr>
        <w:t>(</w:t>
      </w:r>
      <w:r w:rsidRPr="00C547B7">
        <w:rPr>
          <w:rFonts w:eastAsia="標楷體"/>
        </w:rPr>
        <w:t>星期三</w:t>
      </w:r>
      <w:r w:rsidRPr="00C547B7">
        <w:rPr>
          <w:rFonts w:eastAsia="標楷體"/>
        </w:rPr>
        <w:t>) 13</w:t>
      </w:r>
      <w:r w:rsidRPr="00C547B7">
        <w:rPr>
          <w:rFonts w:eastAsia="標楷體"/>
        </w:rPr>
        <w:t>時</w:t>
      </w:r>
      <w:r w:rsidRPr="00C547B7">
        <w:rPr>
          <w:rFonts w:eastAsia="標楷體"/>
        </w:rPr>
        <w:t xml:space="preserve"> 10</w:t>
      </w:r>
      <w:r w:rsidRPr="00C547B7">
        <w:rPr>
          <w:rFonts w:eastAsia="標楷體"/>
        </w:rPr>
        <w:t>分</w:t>
      </w:r>
    </w:p>
    <w:p w14:paraId="34523739" w14:textId="671ABF6D" w:rsidR="00B66274" w:rsidRPr="00C547B7" w:rsidRDefault="009C5656" w:rsidP="000C155F">
      <w:pPr>
        <w:numPr>
          <w:ilvl w:val="0"/>
          <w:numId w:val="1"/>
        </w:numPr>
        <w:ind w:left="426" w:hanging="426"/>
        <w:rPr>
          <w:rFonts w:eastAsia="標楷體"/>
        </w:rPr>
      </w:pPr>
      <w:r w:rsidRPr="00C547B7">
        <w:rPr>
          <w:rFonts w:eastAsia="標楷體"/>
        </w:rPr>
        <w:t>地點：</w:t>
      </w:r>
      <w:r w:rsidR="000C155F">
        <w:rPr>
          <w:rFonts w:eastAsia="標楷體" w:hint="eastAsia"/>
        </w:rPr>
        <w:t>校友會</w:t>
      </w:r>
    </w:p>
    <w:p w14:paraId="511D5368" w14:textId="1D74FDAE" w:rsidR="00B66274" w:rsidRPr="00C547B7" w:rsidRDefault="009C5656" w:rsidP="000C155F">
      <w:pPr>
        <w:numPr>
          <w:ilvl w:val="0"/>
          <w:numId w:val="1"/>
        </w:numPr>
        <w:ind w:left="426" w:hanging="426"/>
        <w:rPr>
          <w:rFonts w:eastAsia="標楷體"/>
        </w:rPr>
      </w:pPr>
      <w:r w:rsidRPr="00C547B7">
        <w:rPr>
          <w:rFonts w:eastAsia="標楷體"/>
        </w:rPr>
        <w:t>出席人員：</w:t>
      </w:r>
      <w:r w:rsidRPr="00C547B7">
        <w:rPr>
          <w:rFonts w:eastAsia="標楷體"/>
          <w:color w:val="000000"/>
        </w:rPr>
        <w:t>應出席</w:t>
      </w:r>
      <w:r w:rsidRPr="00C547B7">
        <w:rPr>
          <w:rFonts w:eastAsia="標楷體"/>
          <w:color w:val="000000"/>
        </w:rPr>
        <w:t>6</w:t>
      </w:r>
      <w:r w:rsidRPr="00C547B7">
        <w:rPr>
          <w:rFonts w:eastAsia="標楷體"/>
          <w:color w:val="000000"/>
        </w:rPr>
        <w:t>人</w:t>
      </w:r>
      <w:r w:rsidR="00735028">
        <w:rPr>
          <w:rFonts w:ascii="標楷體" w:eastAsia="標楷體" w:hAnsi="標楷體" w:hint="eastAsia"/>
          <w:color w:val="000000"/>
        </w:rPr>
        <w:t>，列席0人；實際出席6人，列席 0 人</w:t>
      </w:r>
      <w:r w:rsidRPr="00C547B7">
        <w:rPr>
          <w:rFonts w:eastAsia="標楷體"/>
          <w:color w:val="000000"/>
        </w:rPr>
        <w:t>（見簽到表）</w:t>
      </w:r>
    </w:p>
    <w:p w14:paraId="6D15A47B" w14:textId="3925F78B" w:rsidR="00C547B7" w:rsidRDefault="009C5656" w:rsidP="000C155F">
      <w:pPr>
        <w:numPr>
          <w:ilvl w:val="0"/>
          <w:numId w:val="1"/>
        </w:numPr>
        <w:ind w:left="426" w:hanging="426"/>
        <w:rPr>
          <w:rFonts w:eastAsia="標楷體"/>
        </w:rPr>
      </w:pPr>
      <w:r w:rsidRPr="00C547B7">
        <w:rPr>
          <w:rFonts w:eastAsia="標楷體"/>
        </w:rPr>
        <w:t>主席：</w:t>
      </w:r>
      <w:r w:rsidR="00F0762A" w:rsidRPr="00C547B7">
        <w:rPr>
          <w:rFonts w:eastAsia="標楷體"/>
        </w:rPr>
        <w:t>陳瑞君</w:t>
      </w:r>
      <w:r w:rsidRPr="00C547B7">
        <w:rPr>
          <w:rFonts w:eastAsia="標楷體"/>
        </w:rPr>
        <w:t>老師</w:t>
      </w:r>
      <w:r w:rsidR="00C547B7">
        <w:rPr>
          <w:rFonts w:eastAsia="標楷體" w:hint="eastAsia"/>
        </w:rPr>
        <w:t xml:space="preserve"> </w:t>
      </w:r>
      <w:r w:rsidR="00C547B7">
        <w:rPr>
          <w:rFonts w:eastAsia="標楷體"/>
        </w:rPr>
        <w:t xml:space="preserve">                               </w:t>
      </w:r>
      <w:r w:rsidR="00C547B7" w:rsidRPr="00C547B7">
        <w:rPr>
          <w:rFonts w:eastAsia="標楷體"/>
        </w:rPr>
        <w:t>記錄：</w:t>
      </w:r>
      <w:r w:rsidR="008C5364">
        <w:rPr>
          <w:rFonts w:eastAsia="標楷體" w:hint="eastAsia"/>
        </w:rPr>
        <w:t>施宛君</w:t>
      </w:r>
      <w:r w:rsidR="00C547B7" w:rsidRPr="00C547B7">
        <w:rPr>
          <w:rFonts w:eastAsia="標楷體"/>
        </w:rPr>
        <w:t>老師</w:t>
      </w:r>
    </w:p>
    <w:p w14:paraId="7253EB81" w14:textId="77777777" w:rsidR="00B66274" w:rsidRPr="00C547B7" w:rsidRDefault="00C547B7" w:rsidP="000C155F">
      <w:pPr>
        <w:numPr>
          <w:ilvl w:val="0"/>
          <w:numId w:val="1"/>
        </w:numPr>
        <w:ind w:left="426" w:hanging="426"/>
        <w:rPr>
          <w:rFonts w:eastAsia="標楷體"/>
        </w:rPr>
      </w:pPr>
      <w:r w:rsidRPr="00C547B7">
        <w:rPr>
          <w:rFonts w:eastAsia="標楷體"/>
        </w:rPr>
        <w:t>主席致詞：</w:t>
      </w:r>
      <w:r w:rsidR="009C5656" w:rsidRPr="00C547B7">
        <w:rPr>
          <w:rFonts w:eastAsia="標楷體"/>
        </w:rPr>
        <w:t xml:space="preserve">                            </w:t>
      </w:r>
    </w:p>
    <w:p w14:paraId="507B3A2A" w14:textId="5724408F" w:rsidR="00F0762A" w:rsidRDefault="00C547B7" w:rsidP="00FE39D3">
      <w:pPr>
        <w:ind w:left="426"/>
        <w:rPr>
          <w:rFonts w:eastAsia="標楷體"/>
        </w:rPr>
      </w:pPr>
      <w:r>
        <w:rPr>
          <w:rFonts w:eastAsia="標楷體" w:hint="eastAsia"/>
        </w:rPr>
        <w:t>今</w:t>
      </w:r>
      <w:r w:rsidR="008C5364">
        <w:rPr>
          <w:rFonts w:eastAsia="標楷體" w:hint="eastAsia"/>
        </w:rPr>
        <w:t>日工作坊主題是</w:t>
      </w:r>
      <w:r w:rsidR="000C155F">
        <w:rPr>
          <w:rFonts w:eastAsia="標楷體" w:hint="eastAsia"/>
        </w:rPr>
        <w:t>1</w:t>
      </w:r>
      <w:r w:rsidR="000C155F">
        <w:rPr>
          <w:rFonts w:eastAsia="標楷體"/>
        </w:rPr>
        <w:t>12</w:t>
      </w:r>
      <w:r w:rsidR="000C155F">
        <w:rPr>
          <w:rFonts w:eastAsia="標楷體" w:hint="eastAsia"/>
        </w:rPr>
        <w:t>年國中教育會考數學科試題分析</w:t>
      </w:r>
      <w:r w:rsidR="008C5364">
        <w:rPr>
          <w:rFonts w:eastAsia="標楷體" w:hint="eastAsia"/>
        </w:rPr>
        <w:t>，請</w:t>
      </w:r>
      <w:r w:rsidR="000C155F">
        <w:rPr>
          <w:rFonts w:eastAsia="標楷體" w:hint="eastAsia"/>
        </w:rPr>
        <w:t>許文松</w:t>
      </w:r>
      <w:r w:rsidR="008C5364">
        <w:rPr>
          <w:rFonts w:eastAsia="標楷體" w:hint="eastAsia"/>
        </w:rPr>
        <w:t>老師進行分享</w:t>
      </w:r>
      <w:r w:rsidR="000C155F">
        <w:rPr>
          <w:rFonts w:eastAsia="標楷體" w:hint="eastAsia"/>
        </w:rPr>
        <w:t>與討論</w:t>
      </w:r>
      <w:r w:rsidR="008C5364">
        <w:rPr>
          <w:rFonts w:eastAsia="標楷體" w:hint="eastAsia"/>
        </w:rPr>
        <w:t>。</w:t>
      </w:r>
    </w:p>
    <w:p w14:paraId="4292DB44" w14:textId="2FB41DA4" w:rsidR="000C155F" w:rsidRPr="00B1227F" w:rsidRDefault="000C155F" w:rsidP="00FE39D3">
      <w:pPr>
        <w:ind w:left="426"/>
        <w:rPr>
          <w:rFonts w:eastAsia="標楷體"/>
          <w:iCs/>
          <w:color w:val="000000"/>
          <w:sz w:val="27"/>
          <w:szCs w:val="27"/>
        </w:rPr>
      </w:pPr>
      <w:r>
        <w:rPr>
          <w:rFonts w:eastAsia="標楷體" w:hint="eastAsia"/>
        </w:rPr>
        <w:t>許文松老師：根據</w:t>
      </w:r>
      <w:r w:rsidRPr="000C155F">
        <w:rPr>
          <w:rFonts w:eastAsia="標楷體" w:hint="eastAsia"/>
        </w:rPr>
        <w:t>國立臺灣師範大學心理與教育測驗研究發展中心</w:t>
      </w:r>
      <w:r>
        <w:rPr>
          <w:rFonts w:eastAsia="標楷體" w:hint="eastAsia"/>
        </w:rPr>
        <w:t>所提供</w:t>
      </w:r>
      <w:r w:rsidRPr="000C155F">
        <w:rPr>
          <w:rFonts w:eastAsia="標楷體" w:hint="eastAsia"/>
        </w:rPr>
        <w:t>數學科試題分析</w:t>
      </w:r>
      <w:r>
        <w:rPr>
          <w:rFonts w:eastAsia="標楷體" w:hint="eastAsia"/>
        </w:rPr>
        <w:t>資料，下面將依全國答對率及本校答對率較低的幾個試題來介紹。</w:t>
      </w:r>
    </w:p>
    <w:p w14:paraId="1C2E1452" w14:textId="32C363D0" w:rsidR="00B1227F" w:rsidRDefault="00FF3A2C" w:rsidP="00FE39D3">
      <w:pPr>
        <w:snapToGrid w:val="0"/>
        <w:spacing w:beforeLines="10" w:before="24"/>
        <w:ind w:leftChars="177" w:left="425" w:rightChars="-65" w:right="-156"/>
        <w:rPr>
          <w:rFonts w:eastAsia="標楷體"/>
          <w:i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C93A60B" wp14:editId="298A1E91">
            <wp:extent cx="5187950" cy="10096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CBE1" w14:textId="5A47F7C6" w:rsidR="000C155F" w:rsidRDefault="000C155F" w:rsidP="00FE39D3">
      <w:pPr>
        <w:ind w:left="426"/>
        <w:rPr>
          <w:rFonts w:eastAsia="標楷體"/>
          <w:iCs/>
          <w:color w:val="000000"/>
        </w:rPr>
      </w:pPr>
      <w:r w:rsidRPr="000C155F">
        <w:rPr>
          <w:rFonts w:eastAsia="標楷體" w:hint="eastAsia"/>
          <w:iCs/>
          <w:color w:val="000000"/>
        </w:rPr>
        <w:t>分析：</w:t>
      </w:r>
      <w:r>
        <w:rPr>
          <w:rFonts w:eastAsia="標楷體" w:hint="eastAsia"/>
          <w:iCs/>
          <w:color w:val="000000"/>
        </w:rPr>
        <w:t>題目</w:t>
      </w:r>
      <w:r w:rsidRPr="00FE39D3">
        <w:rPr>
          <w:rFonts w:eastAsia="標楷體" w:hint="eastAsia"/>
        </w:rPr>
        <w:t>難度</w:t>
      </w:r>
      <w:r>
        <w:rPr>
          <w:rFonts w:eastAsia="標楷體" w:hint="eastAsia"/>
          <w:iCs/>
          <w:color w:val="000000"/>
        </w:rPr>
        <w:t>不高，應是題目敘述不易理解，致使考生答題未掌握問題重點所在。</w:t>
      </w:r>
    </w:p>
    <w:p w14:paraId="15F93CBA" w14:textId="159B5E3A" w:rsidR="00FE39D3" w:rsidRDefault="00FE39D3" w:rsidP="00FE39D3">
      <w:pPr>
        <w:ind w:left="426"/>
        <w:rPr>
          <w:rFonts w:eastAsia="標楷體"/>
          <w:iCs/>
          <w:color w:val="000000"/>
        </w:rPr>
      </w:pPr>
    </w:p>
    <w:p w14:paraId="047A8275" w14:textId="62BFB064" w:rsidR="00FE39D3" w:rsidRPr="000C155F" w:rsidRDefault="00FF3A2C" w:rsidP="00FE39D3">
      <w:pPr>
        <w:ind w:left="426"/>
        <w:rPr>
          <w:rFonts w:eastAsia="標楷體"/>
          <w:iCs/>
          <w:color w:val="000000"/>
        </w:rPr>
      </w:pPr>
      <w:r>
        <w:rPr>
          <w:noProof/>
        </w:rPr>
        <w:drawing>
          <wp:inline distT="0" distB="0" distL="0" distR="0" wp14:anchorId="0037C1C4" wp14:editId="0255D2D0">
            <wp:extent cx="5137150" cy="2433965"/>
            <wp:effectExtent l="0" t="0" r="6350" b="44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625" cy="24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B9421" w14:textId="368D48C2" w:rsidR="00FE39D3" w:rsidRDefault="00FE39D3" w:rsidP="00FE39D3">
      <w:pPr>
        <w:ind w:left="426"/>
        <w:rPr>
          <w:rFonts w:eastAsia="標楷體"/>
          <w:iCs/>
          <w:color w:val="000000"/>
        </w:rPr>
      </w:pPr>
      <w:r w:rsidRPr="000C155F">
        <w:rPr>
          <w:rFonts w:eastAsia="標楷體" w:hint="eastAsia"/>
          <w:iCs/>
          <w:color w:val="000000"/>
        </w:rPr>
        <w:t>分析：</w:t>
      </w:r>
      <w:r>
        <w:rPr>
          <w:rFonts w:eastAsia="標楷體" w:hint="eastAsia"/>
          <w:iCs/>
          <w:color w:val="000000"/>
        </w:rPr>
        <w:t>題目敘述較長、文字較多，致使考生讀題後未掌握重點。</w:t>
      </w:r>
    </w:p>
    <w:p w14:paraId="652D04A7" w14:textId="0B187421" w:rsidR="00FE39D3" w:rsidRDefault="00FE39D3" w:rsidP="00FE39D3">
      <w:pPr>
        <w:ind w:left="426"/>
        <w:rPr>
          <w:rFonts w:eastAsia="標楷體"/>
          <w:iCs/>
          <w:color w:val="000000"/>
        </w:rPr>
      </w:pPr>
    </w:p>
    <w:p w14:paraId="442BDA53" w14:textId="3FC54D83" w:rsidR="00FE39D3" w:rsidRDefault="00FF3A2C" w:rsidP="00FE39D3">
      <w:pPr>
        <w:ind w:left="426"/>
        <w:rPr>
          <w:rFonts w:eastAsia="標楷體"/>
          <w:iCs/>
          <w:color w:val="000000"/>
        </w:rPr>
      </w:pPr>
      <w:r>
        <w:rPr>
          <w:noProof/>
        </w:rPr>
        <w:drawing>
          <wp:inline distT="0" distB="0" distL="0" distR="0" wp14:anchorId="3968D2CA" wp14:editId="46B13B8F">
            <wp:extent cx="5187950" cy="2110599"/>
            <wp:effectExtent l="0" t="0" r="0" b="444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76" cy="21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897F" w14:textId="1846C733" w:rsidR="00FE39D3" w:rsidRDefault="00FE39D3" w:rsidP="00FF3A2C">
      <w:pPr>
        <w:ind w:left="426"/>
        <w:rPr>
          <w:rFonts w:eastAsia="標楷體" w:hint="eastAsia"/>
          <w:iCs/>
          <w:color w:val="000000"/>
        </w:rPr>
      </w:pPr>
      <w:r w:rsidRPr="000C155F">
        <w:rPr>
          <w:rFonts w:eastAsia="標楷體" w:hint="eastAsia"/>
          <w:iCs/>
          <w:color w:val="000000"/>
        </w:rPr>
        <w:t>分析：</w:t>
      </w:r>
      <w:r>
        <w:rPr>
          <w:rFonts w:eastAsia="標楷體" w:hint="eastAsia"/>
          <w:iCs/>
          <w:color w:val="000000"/>
        </w:rPr>
        <w:t>類似問題在教學時，可請學生掌握外心性質，進行尺規作圖，以</w:t>
      </w:r>
      <w:r w:rsidRPr="00FE39D3">
        <w:rPr>
          <w:rFonts w:eastAsia="標楷體" w:hint="eastAsia"/>
          <w:i/>
          <w:color w:val="000000"/>
        </w:rPr>
        <w:t>O</w:t>
      </w:r>
      <w:r>
        <w:rPr>
          <w:rFonts w:eastAsia="標楷體" w:hint="eastAsia"/>
          <w:iCs/>
          <w:color w:val="000000"/>
        </w:rPr>
        <w:t>點為圓心，線段</w:t>
      </w:r>
      <w:r>
        <w:rPr>
          <w:rFonts w:eastAsia="標楷體" w:hint="eastAsia"/>
          <w:iCs/>
          <w:color w:val="000000"/>
        </w:rPr>
        <w:t xml:space="preserve"> </w:t>
      </w:r>
      <w:r w:rsidRPr="00FE39D3">
        <w:rPr>
          <w:rFonts w:eastAsia="標楷體" w:hint="eastAsia"/>
          <w:i/>
          <w:color w:val="000000"/>
        </w:rPr>
        <w:t>OA</w:t>
      </w:r>
      <w:r>
        <w:rPr>
          <w:rFonts w:eastAsia="標楷體" w:hint="eastAsia"/>
          <w:iCs/>
          <w:color w:val="000000"/>
        </w:rPr>
        <w:t>為半徑畫圓，即可發現</w:t>
      </w:r>
      <w:r w:rsidRPr="00FE39D3">
        <w:rPr>
          <w:rFonts w:eastAsia="標楷體" w:hint="eastAsia"/>
          <w:i/>
          <w:color w:val="000000"/>
        </w:rPr>
        <w:t>B</w:t>
      </w:r>
      <w:r>
        <w:rPr>
          <w:rFonts w:eastAsia="標楷體" w:hint="eastAsia"/>
          <w:iCs/>
          <w:color w:val="000000"/>
        </w:rPr>
        <w:t>、</w:t>
      </w:r>
      <w:r w:rsidRPr="00FE39D3">
        <w:rPr>
          <w:rFonts w:eastAsia="標楷體" w:hint="eastAsia"/>
          <w:i/>
          <w:color w:val="000000"/>
        </w:rPr>
        <w:t>C</w:t>
      </w:r>
      <w:r>
        <w:rPr>
          <w:rFonts w:eastAsia="標楷體" w:hint="eastAsia"/>
          <w:iCs/>
          <w:color w:val="000000"/>
        </w:rPr>
        <w:t>兩點位置。</w:t>
      </w:r>
    </w:p>
    <w:p w14:paraId="3E9EA7B5" w14:textId="78019664" w:rsidR="00FE39D3" w:rsidRDefault="00FF3A2C" w:rsidP="00FE39D3">
      <w:pPr>
        <w:ind w:left="426"/>
        <w:rPr>
          <w:rFonts w:eastAsia="標楷體"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3BD6C286" wp14:editId="1542824B">
            <wp:extent cx="4940300" cy="263197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955" cy="263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D737F" w14:textId="359CB4A8" w:rsidR="00FE39D3" w:rsidRDefault="00FE39D3" w:rsidP="00FE39D3">
      <w:pPr>
        <w:ind w:left="426"/>
        <w:rPr>
          <w:rFonts w:eastAsia="標楷體"/>
          <w:iCs/>
          <w:color w:val="000000"/>
        </w:rPr>
      </w:pPr>
      <w:r w:rsidRPr="000C155F">
        <w:rPr>
          <w:rFonts w:eastAsia="標楷體" w:hint="eastAsia"/>
          <w:iCs/>
          <w:color w:val="000000"/>
        </w:rPr>
        <w:t>分析：</w:t>
      </w:r>
      <w:r>
        <w:rPr>
          <w:rFonts w:eastAsia="標楷體" w:hint="eastAsia"/>
          <w:iCs/>
          <w:color w:val="000000"/>
        </w:rPr>
        <w:t>題目內容應與學生生活經驗相關，但加上未知數</w:t>
      </w:r>
      <w:r w:rsidRPr="00FE39D3">
        <w:rPr>
          <w:rFonts w:eastAsia="標楷體"/>
          <w:i/>
          <w:color w:val="000000"/>
        </w:rPr>
        <w:t>x</w:t>
      </w:r>
      <w:r>
        <w:rPr>
          <w:rFonts w:eastAsia="標楷體" w:hint="eastAsia"/>
          <w:iCs/>
          <w:color w:val="000000"/>
        </w:rPr>
        <w:t>後，學生就不會利用未知數表示。</w:t>
      </w:r>
    </w:p>
    <w:p w14:paraId="57CB5DFB" w14:textId="2FE154EE" w:rsidR="00FE39D3" w:rsidRDefault="00FE39D3" w:rsidP="00FE39D3">
      <w:pPr>
        <w:ind w:left="426"/>
        <w:rPr>
          <w:rFonts w:eastAsia="標楷體"/>
          <w:iCs/>
          <w:color w:val="000000"/>
        </w:rPr>
      </w:pPr>
    </w:p>
    <w:p w14:paraId="7283F3C4" w14:textId="1914EA67" w:rsidR="00FE39D3" w:rsidRDefault="00FF3A2C" w:rsidP="00FE39D3">
      <w:pPr>
        <w:ind w:left="426"/>
        <w:rPr>
          <w:rFonts w:eastAsia="標楷體"/>
          <w:iCs/>
          <w:color w:val="000000"/>
        </w:rPr>
      </w:pPr>
      <w:r>
        <w:rPr>
          <w:noProof/>
        </w:rPr>
        <w:drawing>
          <wp:inline distT="0" distB="0" distL="0" distR="0" wp14:anchorId="3C8BC274" wp14:editId="7DB54E14">
            <wp:extent cx="5029200" cy="2112043"/>
            <wp:effectExtent l="0" t="0" r="0" b="254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94" cy="21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944A" w14:textId="41C97AC5" w:rsidR="00FE39D3" w:rsidRDefault="00FE39D3" w:rsidP="00FE39D3">
      <w:pPr>
        <w:ind w:left="426"/>
        <w:rPr>
          <w:rFonts w:eastAsia="標楷體"/>
          <w:iCs/>
          <w:color w:val="000000"/>
        </w:rPr>
      </w:pPr>
      <w:r w:rsidRPr="000C155F">
        <w:rPr>
          <w:rFonts w:eastAsia="標楷體" w:hint="eastAsia"/>
          <w:iCs/>
          <w:color w:val="000000"/>
        </w:rPr>
        <w:t>分析：</w:t>
      </w:r>
      <w:r>
        <w:rPr>
          <w:rFonts w:eastAsia="標楷體" w:hint="eastAsia"/>
          <w:iCs/>
          <w:color w:val="000000"/>
        </w:rPr>
        <w:t>題目圖形有誘答效果，建議學生可另外畫不同角度組成的三角形後，再進行解題。</w:t>
      </w:r>
    </w:p>
    <w:p w14:paraId="0D6F8D76" w14:textId="6977C0FD" w:rsidR="00FE39D3" w:rsidRDefault="00FE39D3" w:rsidP="00FE39D3">
      <w:pPr>
        <w:ind w:left="426"/>
        <w:rPr>
          <w:rFonts w:eastAsia="標楷體"/>
          <w:iCs/>
          <w:color w:val="000000"/>
        </w:rPr>
      </w:pPr>
    </w:p>
    <w:p w14:paraId="3233998E" w14:textId="2BA1CDF7" w:rsidR="00FE39D3" w:rsidRDefault="00FF3A2C" w:rsidP="00FE39D3">
      <w:pPr>
        <w:ind w:left="426"/>
        <w:rPr>
          <w:rFonts w:eastAsia="標楷體"/>
          <w:iCs/>
          <w:color w:val="000000"/>
        </w:rPr>
      </w:pPr>
      <w:r>
        <w:rPr>
          <w:noProof/>
        </w:rPr>
        <w:drawing>
          <wp:inline distT="0" distB="0" distL="0" distR="0" wp14:anchorId="51C65238" wp14:editId="2C0735A5">
            <wp:extent cx="5029200" cy="3155950"/>
            <wp:effectExtent l="0" t="0" r="0" b="635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61DC6" w14:textId="62B40248" w:rsidR="00637916" w:rsidRDefault="00637916" w:rsidP="00FE39D3">
      <w:pPr>
        <w:ind w:left="426"/>
        <w:rPr>
          <w:rFonts w:eastAsia="標楷體"/>
          <w:iCs/>
          <w:color w:val="000000"/>
        </w:rPr>
      </w:pPr>
      <w:r>
        <w:rPr>
          <w:rFonts w:eastAsia="標楷體" w:hint="eastAsia"/>
          <w:iCs/>
          <w:color w:val="000000"/>
        </w:rPr>
        <w:t>分析：題目難度不高，但學生未能聯想到是利用比例解題。</w:t>
      </w:r>
    </w:p>
    <w:p w14:paraId="2EC861BE" w14:textId="04090798" w:rsidR="00637916" w:rsidRDefault="00FF3A2C" w:rsidP="00FE39D3">
      <w:pPr>
        <w:ind w:left="426"/>
        <w:rPr>
          <w:rFonts w:eastAsia="標楷體"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6E2200B0" wp14:editId="57CE1EC3">
            <wp:extent cx="4930468" cy="2025650"/>
            <wp:effectExtent l="0" t="0" r="381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86" cy="202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DA38" w14:textId="716B2D4E" w:rsidR="00637916" w:rsidRDefault="00637916" w:rsidP="00FE39D3">
      <w:pPr>
        <w:ind w:left="426"/>
        <w:rPr>
          <w:rFonts w:eastAsia="標楷體"/>
          <w:iCs/>
          <w:color w:val="000000"/>
        </w:rPr>
      </w:pPr>
      <w:r>
        <w:rPr>
          <w:rFonts w:eastAsia="標楷體" w:hint="eastAsia"/>
          <w:iCs/>
          <w:color w:val="000000"/>
        </w:rPr>
        <w:t>分析：最後幾題應與學生作答速度較慢，導致所剩時間不夠讓學生慢慢思考解題策略。</w:t>
      </w:r>
    </w:p>
    <w:p w14:paraId="565024F1" w14:textId="77777777" w:rsidR="00637916" w:rsidRDefault="00637916" w:rsidP="00FE39D3">
      <w:pPr>
        <w:ind w:left="426"/>
        <w:rPr>
          <w:rFonts w:eastAsia="標楷體"/>
          <w:iCs/>
          <w:color w:val="000000"/>
        </w:rPr>
      </w:pPr>
    </w:p>
    <w:p w14:paraId="286BCD0A" w14:textId="6549B54F" w:rsidR="00637916" w:rsidRDefault="00FF3A2C" w:rsidP="00FE39D3">
      <w:pPr>
        <w:ind w:left="426"/>
        <w:rPr>
          <w:rFonts w:eastAsia="標楷體"/>
          <w:iCs/>
          <w:color w:val="000000"/>
        </w:rPr>
      </w:pPr>
      <w:r>
        <w:rPr>
          <w:noProof/>
        </w:rPr>
        <w:drawing>
          <wp:inline distT="0" distB="0" distL="0" distR="0" wp14:anchorId="2537939D" wp14:editId="06257016">
            <wp:extent cx="4972050" cy="2089150"/>
            <wp:effectExtent l="0" t="0" r="0" b="635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4E65" w14:textId="2799BB22" w:rsidR="00637916" w:rsidRPr="00637916" w:rsidRDefault="00637916" w:rsidP="00FE39D3">
      <w:pPr>
        <w:ind w:left="426"/>
        <w:rPr>
          <w:rFonts w:eastAsia="標楷體"/>
          <w:iCs/>
          <w:color w:val="000000"/>
        </w:rPr>
      </w:pPr>
      <w:r>
        <w:rPr>
          <w:rFonts w:eastAsia="標楷體" w:hint="eastAsia"/>
          <w:iCs/>
          <w:color w:val="000000"/>
        </w:rPr>
        <w:t>分析：最後幾題應與學生作答速度較慢，導致所剩時間不夠讓學生慢慢思考解題策略。</w:t>
      </w:r>
    </w:p>
    <w:p w14:paraId="0AE07617" w14:textId="77777777" w:rsidR="00B1227F" w:rsidRPr="00FE39D3" w:rsidRDefault="00B1227F" w:rsidP="00CC6A9C">
      <w:pPr>
        <w:rPr>
          <w:rFonts w:eastAsia="標楷體"/>
        </w:rPr>
      </w:pPr>
    </w:p>
    <w:p w14:paraId="16F2A66F" w14:textId="77777777" w:rsidR="00B66274" w:rsidRPr="00C547B7" w:rsidRDefault="009C5656" w:rsidP="00735028">
      <w:pPr>
        <w:numPr>
          <w:ilvl w:val="0"/>
          <w:numId w:val="1"/>
        </w:numPr>
        <w:ind w:left="606" w:hanging="606"/>
        <w:rPr>
          <w:rFonts w:eastAsia="標楷體"/>
        </w:rPr>
      </w:pPr>
      <w:r w:rsidRPr="00C547B7">
        <w:rPr>
          <w:rFonts w:eastAsia="標楷體"/>
        </w:rPr>
        <w:t>提案討論：</w:t>
      </w:r>
    </w:p>
    <w:p w14:paraId="75E7A4EC" w14:textId="77777777" w:rsidR="00B66274" w:rsidRPr="00C547B7" w:rsidRDefault="009C5656">
      <w:pPr>
        <w:ind w:left="606"/>
        <w:rPr>
          <w:rFonts w:eastAsia="標楷體"/>
        </w:rPr>
      </w:pPr>
      <w:r w:rsidRPr="00C547B7">
        <w:rPr>
          <w:rFonts w:eastAsia="標楷體"/>
        </w:rPr>
        <w:t>無</w:t>
      </w:r>
    </w:p>
    <w:p w14:paraId="52AEDF34" w14:textId="77777777" w:rsidR="00B66274" w:rsidRPr="00C547B7" w:rsidRDefault="009C5656" w:rsidP="003D63AF">
      <w:pPr>
        <w:numPr>
          <w:ilvl w:val="0"/>
          <w:numId w:val="5"/>
        </w:numPr>
        <w:ind w:left="606" w:hanging="606"/>
        <w:rPr>
          <w:rFonts w:eastAsia="標楷體"/>
        </w:rPr>
      </w:pPr>
      <w:r w:rsidRPr="00C547B7">
        <w:rPr>
          <w:rFonts w:eastAsia="標楷體"/>
        </w:rPr>
        <w:t>臨時動議：</w:t>
      </w:r>
    </w:p>
    <w:p w14:paraId="19B5B645" w14:textId="77777777" w:rsidR="00B66274" w:rsidRPr="00C547B7" w:rsidRDefault="009C5656">
      <w:pPr>
        <w:ind w:left="606"/>
        <w:rPr>
          <w:rFonts w:eastAsia="標楷體"/>
        </w:rPr>
      </w:pPr>
      <w:r w:rsidRPr="00C547B7">
        <w:rPr>
          <w:rFonts w:eastAsia="標楷體"/>
        </w:rPr>
        <w:t>無</w:t>
      </w:r>
    </w:p>
    <w:p w14:paraId="6B1E2984" w14:textId="061EC44A" w:rsidR="00B66274" w:rsidRPr="00C547B7" w:rsidRDefault="009C5656" w:rsidP="003D63AF">
      <w:pPr>
        <w:numPr>
          <w:ilvl w:val="0"/>
          <w:numId w:val="5"/>
        </w:numPr>
        <w:ind w:left="606" w:hanging="606"/>
        <w:rPr>
          <w:rFonts w:eastAsia="標楷體"/>
        </w:rPr>
      </w:pPr>
      <w:r w:rsidRPr="00C547B7">
        <w:rPr>
          <w:rFonts w:eastAsia="標楷體"/>
        </w:rPr>
        <w:t>散會：民國</w:t>
      </w:r>
      <w:r w:rsidRPr="00C547B7">
        <w:rPr>
          <w:rFonts w:eastAsia="標楷體"/>
        </w:rPr>
        <w:t>11</w:t>
      </w:r>
      <w:r w:rsidR="003D63AF">
        <w:rPr>
          <w:rFonts w:eastAsia="標楷體"/>
        </w:rPr>
        <w:t>2</w:t>
      </w:r>
      <w:r w:rsidRPr="00C547B7">
        <w:rPr>
          <w:rFonts w:eastAsia="標楷體"/>
        </w:rPr>
        <w:t>年</w:t>
      </w:r>
      <w:r w:rsidR="00637916">
        <w:rPr>
          <w:rFonts w:eastAsia="標楷體"/>
        </w:rPr>
        <w:t>9</w:t>
      </w:r>
      <w:r w:rsidRPr="00C547B7">
        <w:rPr>
          <w:rFonts w:eastAsia="標楷體"/>
        </w:rPr>
        <w:t>月</w:t>
      </w:r>
      <w:r w:rsidR="00250C09" w:rsidRPr="00C547B7">
        <w:rPr>
          <w:rFonts w:eastAsia="標楷體"/>
        </w:rPr>
        <w:t>2</w:t>
      </w:r>
      <w:r w:rsidR="00637916">
        <w:rPr>
          <w:rFonts w:eastAsia="標楷體"/>
        </w:rPr>
        <w:t>0</w:t>
      </w:r>
      <w:r w:rsidRPr="00C547B7">
        <w:rPr>
          <w:rFonts w:eastAsia="標楷體"/>
        </w:rPr>
        <w:t>日</w:t>
      </w:r>
      <w:r w:rsidRPr="00C547B7">
        <w:rPr>
          <w:rFonts w:eastAsia="標楷體"/>
        </w:rPr>
        <w:t>16</w:t>
      </w:r>
      <w:r w:rsidRPr="00C547B7">
        <w:rPr>
          <w:rFonts w:eastAsia="標楷體"/>
        </w:rPr>
        <w:t>時</w:t>
      </w:r>
      <w:r w:rsidRPr="00C547B7">
        <w:rPr>
          <w:rFonts w:eastAsia="標楷體"/>
        </w:rPr>
        <w:t>10</w:t>
      </w:r>
      <w:r w:rsidRPr="00C547B7">
        <w:rPr>
          <w:rFonts w:eastAsia="標楷體"/>
        </w:rPr>
        <w:t>分</w:t>
      </w:r>
    </w:p>
    <w:tbl>
      <w:tblPr>
        <w:tblStyle w:val="a5"/>
        <w:tblW w:w="9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4760"/>
      </w:tblGrid>
      <w:tr w:rsidR="00B66274" w:rsidRPr="00C547B7" w14:paraId="16E490E6" w14:textId="77777777" w:rsidTr="006E26F0">
        <w:trPr>
          <w:trHeight w:val="2440"/>
        </w:trPr>
        <w:tc>
          <w:tcPr>
            <w:tcW w:w="4760" w:type="dxa"/>
            <w:vAlign w:val="center"/>
          </w:tcPr>
          <w:p w14:paraId="7F2B8C7C" w14:textId="08263646" w:rsidR="00B66274" w:rsidRPr="00C547B7" w:rsidRDefault="00714F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FBF10" wp14:editId="6021B4E9">
                  <wp:extent cx="2885440" cy="15259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440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vAlign w:val="center"/>
          </w:tcPr>
          <w:p w14:paraId="44B961AA" w14:textId="71FFB48D" w:rsidR="00B66274" w:rsidRPr="00C547B7" w:rsidRDefault="00FF3A2C">
            <w:pPr>
              <w:ind w:left="-17"/>
              <w:jc w:val="center"/>
            </w:pPr>
            <w:r>
              <w:rPr>
                <w:noProof/>
              </w:rPr>
              <w:drawing>
                <wp:inline distT="0" distB="0" distL="0" distR="0" wp14:anchorId="36CAE618" wp14:editId="7DB64F19">
                  <wp:extent cx="2885440" cy="151765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44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274" w:rsidRPr="00C547B7" w14:paraId="40E7D766" w14:textId="77777777" w:rsidTr="00347DA3">
        <w:trPr>
          <w:trHeight w:val="102"/>
        </w:trPr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14:paraId="59978EBC" w14:textId="137A1AB1" w:rsidR="00B66274" w:rsidRPr="00C547B7" w:rsidRDefault="00637916" w:rsidP="006635F2">
            <w:pPr>
              <w:ind w:left="122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12</w:t>
            </w:r>
            <w:r>
              <w:rPr>
                <w:rFonts w:eastAsia="標楷體" w:hint="eastAsia"/>
                <w:sz w:val="24"/>
                <w:szCs w:val="24"/>
              </w:rPr>
              <w:t>年</w:t>
            </w:r>
            <w:r w:rsidRPr="00637916">
              <w:rPr>
                <w:rFonts w:eastAsia="標楷體" w:hint="eastAsia"/>
                <w:sz w:val="24"/>
                <w:szCs w:val="24"/>
              </w:rPr>
              <w:t>國中教育會考數學科試題分析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14:paraId="264BB191" w14:textId="04772B2A" w:rsidR="00B66274" w:rsidRPr="00C547B7" w:rsidRDefault="00637916" w:rsidP="006635F2">
            <w:pPr>
              <w:ind w:left="122"/>
              <w:jc w:val="center"/>
              <w:rPr>
                <w:rFonts w:eastAsia="標楷體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12</w:t>
            </w:r>
            <w:r>
              <w:rPr>
                <w:rFonts w:eastAsia="標楷體" w:hint="eastAsia"/>
                <w:sz w:val="24"/>
                <w:szCs w:val="24"/>
              </w:rPr>
              <w:t>年</w:t>
            </w:r>
            <w:r w:rsidRPr="00637916">
              <w:rPr>
                <w:rFonts w:eastAsia="標楷體" w:hint="eastAsia"/>
                <w:sz w:val="24"/>
                <w:szCs w:val="24"/>
              </w:rPr>
              <w:t>國中教育會考數學科試題分析</w:t>
            </w:r>
          </w:p>
        </w:tc>
      </w:tr>
    </w:tbl>
    <w:p w14:paraId="193F4816" w14:textId="77777777" w:rsidR="00B66274" w:rsidRPr="00C547B7" w:rsidRDefault="00B66274">
      <w:pPr>
        <w:rPr>
          <w:rFonts w:eastAsia="標楷體"/>
        </w:rPr>
      </w:pPr>
      <w:bookmarkStart w:id="1" w:name="_30j0zll" w:colFirst="0" w:colLast="0"/>
      <w:bookmarkEnd w:id="1"/>
    </w:p>
    <w:sectPr w:rsidR="00B66274" w:rsidRPr="00C547B7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1208" w14:textId="77777777" w:rsidR="00256E5B" w:rsidRDefault="00256E5B" w:rsidP="0036767C">
      <w:r>
        <w:separator/>
      </w:r>
    </w:p>
  </w:endnote>
  <w:endnote w:type="continuationSeparator" w:id="0">
    <w:p w14:paraId="16A2D122" w14:textId="77777777" w:rsidR="00256E5B" w:rsidRDefault="00256E5B" w:rsidP="003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BE5" w14:textId="77777777" w:rsidR="00256E5B" w:rsidRDefault="00256E5B" w:rsidP="0036767C">
      <w:r>
        <w:separator/>
      </w:r>
    </w:p>
  </w:footnote>
  <w:footnote w:type="continuationSeparator" w:id="0">
    <w:p w14:paraId="3045A9A6" w14:textId="77777777" w:rsidR="00256E5B" w:rsidRDefault="00256E5B" w:rsidP="0036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0DA"/>
    <w:multiLevelType w:val="multilevel"/>
    <w:tmpl w:val="5EE2861E"/>
    <w:lvl w:ilvl="0">
      <w:start w:val="6"/>
      <w:numFmt w:val="decimal"/>
      <w:lvlText w:val="%1、"/>
      <w:lvlJc w:val="left"/>
      <w:pPr>
        <w:ind w:left="75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20865994"/>
    <w:multiLevelType w:val="multilevel"/>
    <w:tmpl w:val="5EE2861E"/>
    <w:lvl w:ilvl="0">
      <w:start w:val="6"/>
      <w:numFmt w:val="decimal"/>
      <w:lvlText w:val="%1、"/>
      <w:lvlJc w:val="left"/>
      <w:pPr>
        <w:ind w:left="75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C976020"/>
    <w:multiLevelType w:val="multilevel"/>
    <w:tmpl w:val="8E6AF02E"/>
    <w:lvl w:ilvl="0">
      <w:start w:val="1"/>
      <w:numFmt w:val="decimal"/>
      <w:lvlText w:val="%1、"/>
      <w:lvlJc w:val="left"/>
      <w:pPr>
        <w:ind w:left="75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9306B"/>
    <w:multiLevelType w:val="multilevel"/>
    <w:tmpl w:val="06B6F696"/>
    <w:lvl w:ilvl="0">
      <w:start w:val="7"/>
      <w:numFmt w:val="decimal"/>
      <w:lvlText w:val="%1、"/>
      <w:lvlJc w:val="left"/>
      <w:pPr>
        <w:ind w:left="75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4ECB0638"/>
    <w:multiLevelType w:val="multilevel"/>
    <w:tmpl w:val="73064246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631986"/>
    <w:multiLevelType w:val="hybridMultilevel"/>
    <w:tmpl w:val="ACEC56FE"/>
    <w:lvl w:ilvl="0" w:tplc="6D0E208A">
      <w:start w:val="1"/>
      <w:numFmt w:val="decimal"/>
      <w:lvlText w:val="%1."/>
      <w:lvlJc w:val="left"/>
      <w:pPr>
        <w:ind w:left="764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252E68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59AC3D0">
      <w:start w:val="1"/>
      <w:numFmt w:val="upperLetter"/>
      <w:lvlText w:val="(%5)"/>
      <w:lvlJc w:val="left"/>
      <w:pPr>
        <w:ind w:left="2295" w:hanging="3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775B0E"/>
    <w:multiLevelType w:val="hybridMultilevel"/>
    <w:tmpl w:val="34DC482A"/>
    <w:lvl w:ilvl="0" w:tplc="2E92E81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74"/>
    <w:rsid w:val="000707EA"/>
    <w:rsid w:val="000C155F"/>
    <w:rsid w:val="00157BCD"/>
    <w:rsid w:val="00250C09"/>
    <w:rsid w:val="00256E5B"/>
    <w:rsid w:val="002743D2"/>
    <w:rsid w:val="002C1AEE"/>
    <w:rsid w:val="003079DF"/>
    <w:rsid w:val="00347DA3"/>
    <w:rsid w:val="0036767C"/>
    <w:rsid w:val="003D60FF"/>
    <w:rsid w:val="003D63AF"/>
    <w:rsid w:val="005F56C7"/>
    <w:rsid w:val="006205E9"/>
    <w:rsid w:val="00637916"/>
    <w:rsid w:val="0065640A"/>
    <w:rsid w:val="006635F2"/>
    <w:rsid w:val="006D73CE"/>
    <w:rsid w:val="006E26F0"/>
    <w:rsid w:val="00714FC2"/>
    <w:rsid w:val="00735028"/>
    <w:rsid w:val="008C5364"/>
    <w:rsid w:val="008E40FB"/>
    <w:rsid w:val="008E4F6A"/>
    <w:rsid w:val="00970E73"/>
    <w:rsid w:val="009C5656"/>
    <w:rsid w:val="009D6090"/>
    <w:rsid w:val="00AA7ED5"/>
    <w:rsid w:val="00B1227F"/>
    <w:rsid w:val="00B66274"/>
    <w:rsid w:val="00B6635E"/>
    <w:rsid w:val="00BF7FB1"/>
    <w:rsid w:val="00C547B7"/>
    <w:rsid w:val="00CC6A9C"/>
    <w:rsid w:val="00F0762A"/>
    <w:rsid w:val="00FA707D"/>
    <w:rsid w:val="00FE39D3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3C1F7"/>
  <w15:docId w15:val="{D7A08AD7-44B0-452C-BAE9-298B6E3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il">
    <w:name w:val="il"/>
    <w:basedOn w:val="a0"/>
    <w:rsid w:val="00F0762A"/>
  </w:style>
  <w:style w:type="paragraph" w:styleId="a6">
    <w:name w:val="List Paragraph"/>
    <w:basedOn w:val="a"/>
    <w:uiPriority w:val="34"/>
    <w:qFormat/>
    <w:rsid w:val="00F0762A"/>
    <w:pPr>
      <w:ind w:leftChars="200" w:left="480"/>
    </w:pPr>
  </w:style>
  <w:style w:type="paragraph" w:customStyle="1" w:styleId="Default">
    <w:name w:val="Default"/>
    <w:rsid w:val="006205E9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paragraph" w:styleId="a7">
    <w:name w:val="header"/>
    <w:basedOn w:val="a"/>
    <w:link w:val="a8"/>
    <w:uiPriority w:val="99"/>
    <w:unhideWhenUsed/>
    <w:rsid w:val="0036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76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6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676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2023-03-12T13:44:00Z</dcterms:created>
  <dcterms:modified xsi:type="dcterms:W3CDTF">2023-09-25T01:21:00Z</dcterms:modified>
</cp:coreProperties>
</file>