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F70" w:rsidRPr="005F21DB" w:rsidRDefault="000E5F70" w:rsidP="005F21DB">
      <w:pPr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5F21DB">
        <w:rPr>
          <w:rFonts w:ascii="Times New Roman" w:eastAsia="標楷體" w:hAnsi="標楷體" w:cs="Times New Roman" w:hint="eastAsia"/>
          <w:b/>
          <w:sz w:val="28"/>
          <w:szCs w:val="28"/>
        </w:rPr>
        <w:t>臺北市立大同高級中學</w:t>
      </w:r>
      <w:r w:rsidRPr="005F21DB">
        <w:rPr>
          <w:rFonts w:ascii="Times New Roman" w:eastAsia="標楷體" w:hAnsi="Times New Roman" w:cs="Times New Roman"/>
          <w:b/>
          <w:sz w:val="28"/>
          <w:szCs w:val="28"/>
        </w:rPr>
        <w:t>105</w:t>
      </w:r>
      <w:r w:rsidRPr="005F21DB">
        <w:rPr>
          <w:rFonts w:ascii="Times New Roman" w:eastAsia="標楷體" w:hAnsi="標楷體" w:cs="Times New Roman" w:hint="eastAsia"/>
          <w:b/>
          <w:sz w:val="28"/>
          <w:szCs w:val="28"/>
        </w:rPr>
        <w:t>學年度第二學期教學研究會</w:t>
      </w:r>
      <w:r w:rsidRPr="005F21DB">
        <w:rPr>
          <w:rFonts w:ascii="Times New Roman" w:eastAsia="標楷體" w:hAnsi="Times New Roman" w:cs="Times New Roman"/>
          <w:b/>
          <w:sz w:val="28"/>
          <w:szCs w:val="28"/>
        </w:rPr>
        <w:t>/</w:t>
      </w:r>
      <w:r w:rsidRPr="005F21DB">
        <w:rPr>
          <w:rFonts w:ascii="Times New Roman" w:eastAsia="標楷體" w:hAnsi="標楷體" w:cs="Times New Roman" w:hint="eastAsia"/>
          <w:b/>
          <w:sz w:val="28"/>
          <w:szCs w:val="28"/>
        </w:rPr>
        <w:t>工作坊</w:t>
      </w:r>
    </w:p>
    <w:p w:rsidR="000E5F70" w:rsidRPr="005F21DB" w:rsidRDefault="000E5F70" w:rsidP="005F21DB">
      <w:pPr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0E5F70" w:rsidRPr="005F21DB" w:rsidRDefault="000E5F70" w:rsidP="005F21DB">
      <w:pPr>
        <w:adjustRightInd w:val="0"/>
        <w:snapToGrid w:val="0"/>
        <w:spacing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5F21DB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5F21DB">
        <w:rPr>
          <w:rFonts w:ascii="Times New Roman" w:eastAsia="標楷體" w:hAnsi="標楷體" w:cs="Times New Roman" w:hint="eastAsia"/>
          <w:sz w:val="28"/>
          <w:szCs w:val="28"/>
        </w:rPr>
        <w:t>國中部【國文科】</w:t>
      </w:r>
      <w:r w:rsidRPr="005F21DB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標楷體" w:cs="Times New Roman" w:hint="eastAsia"/>
          <w:sz w:val="28"/>
          <w:szCs w:val="28"/>
        </w:rPr>
        <w:t>【第三</w:t>
      </w:r>
      <w:r w:rsidRPr="005F21DB">
        <w:rPr>
          <w:rFonts w:ascii="Times New Roman" w:eastAsia="標楷體" w:hAnsi="標楷體" w:cs="Times New Roman" w:hint="eastAsia"/>
          <w:sz w:val="28"/>
          <w:szCs w:val="28"/>
        </w:rPr>
        <w:t>次】</w:t>
      </w:r>
      <w:r w:rsidRPr="005F21DB">
        <w:rPr>
          <w:rFonts w:ascii="Times New Roman" w:eastAsia="標楷體" w:hAnsi="標楷體" w:cs="Times New Roman" w:hint="eastAsia"/>
          <w:b/>
          <w:sz w:val="28"/>
          <w:szCs w:val="28"/>
        </w:rPr>
        <w:t>會議紀錄</w:t>
      </w:r>
    </w:p>
    <w:tbl>
      <w:tblPr>
        <w:tblW w:w="10349" w:type="dxa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0"/>
        <w:gridCol w:w="3282"/>
        <w:gridCol w:w="1408"/>
        <w:gridCol w:w="3509"/>
      </w:tblGrid>
      <w:tr w:rsidR="000E5F70" w:rsidRPr="005F21DB" w:rsidTr="005768E7">
        <w:trPr>
          <w:trHeight w:val="938"/>
        </w:trPr>
        <w:tc>
          <w:tcPr>
            <w:tcW w:w="2150" w:type="dxa"/>
            <w:shd w:val="clear" w:color="auto" w:fill="EAF1DD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會議時間</w:t>
            </w:r>
          </w:p>
        </w:tc>
        <w:tc>
          <w:tcPr>
            <w:tcW w:w="3282" w:type="dxa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Times New Roman" w:cs="Times New Roman"/>
                <w:sz w:val="28"/>
                <w:szCs w:val="28"/>
              </w:rPr>
              <w:t>106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03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16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日星期四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時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5F21DB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分至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15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時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5F21DB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分</w:t>
            </w:r>
          </w:p>
        </w:tc>
        <w:tc>
          <w:tcPr>
            <w:tcW w:w="1408" w:type="dxa"/>
            <w:shd w:val="clear" w:color="auto" w:fill="EAF1DD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會議地點</w:t>
            </w:r>
          </w:p>
        </w:tc>
        <w:tc>
          <w:tcPr>
            <w:tcW w:w="3509" w:type="dxa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校史室</w:t>
            </w:r>
          </w:p>
        </w:tc>
      </w:tr>
      <w:tr w:rsidR="000E5F70" w:rsidRPr="005F21DB" w:rsidTr="005768E7">
        <w:tc>
          <w:tcPr>
            <w:tcW w:w="2150" w:type="dxa"/>
            <w:shd w:val="clear" w:color="auto" w:fill="EAF1DD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會議主席</w:t>
            </w:r>
          </w:p>
        </w:tc>
        <w:tc>
          <w:tcPr>
            <w:tcW w:w="3282" w:type="dxa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林香琴</w:t>
            </w:r>
          </w:p>
        </w:tc>
        <w:tc>
          <w:tcPr>
            <w:tcW w:w="1408" w:type="dxa"/>
            <w:shd w:val="clear" w:color="auto" w:fill="EAF1DD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會議記錄</w:t>
            </w:r>
          </w:p>
        </w:tc>
        <w:tc>
          <w:tcPr>
            <w:tcW w:w="3509" w:type="dxa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邱筠芸</w:t>
            </w:r>
          </w:p>
        </w:tc>
      </w:tr>
      <w:tr w:rsidR="000E5F70" w:rsidRPr="005F21DB" w:rsidTr="005768E7">
        <w:tc>
          <w:tcPr>
            <w:tcW w:w="2150" w:type="dxa"/>
            <w:shd w:val="clear" w:color="auto" w:fill="EAF1DD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出席人員</w:t>
            </w:r>
          </w:p>
        </w:tc>
        <w:tc>
          <w:tcPr>
            <w:tcW w:w="8199" w:type="dxa"/>
            <w:gridSpan w:val="3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如簽到表所列</w:t>
            </w:r>
          </w:p>
        </w:tc>
      </w:tr>
      <w:tr w:rsidR="000E5F70" w:rsidRPr="005F21DB" w:rsidTr="005768E7">
        <w:tc>
          <w:tcPr>
            <w:tcW w:w="10349" w:type="dxa"/>
            <w:gridSpan w:val="4"/>
            <w:shd w:val="clear" w:color="auto" w:fill="EAF1DD"/>
            <w:vAlign w:val="center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F21DB">
              <w:rPr>
                <w:rFonts w:ascii="Times New Roman" w:eastAsia="標楷體" w:hAnsi="標楷體" w:cs="Times New Roman" w:hint="eastAsia"/>
                <w:sz w:val="28"/>
                <w:szCs w:val="28"/>
              </w:rPr>
              <w:t>會議內容</w:t>
            </w:r>
          </w:p>
        </w:tc>
      </w:tr>
      <w:tr w:rsidR="000E5F70" w:rsidRPr="005F21DB" w:rsidTr="002D55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10807"/>
        </w:trPr>
        <w:tc>
          <w:tcPr>
            <w:tcW w:w="10349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b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cs="Times New Roman" w:hint="eastAsia"/>
                <w:b/>
                <w:kern w:val="0"/>
                <w:sz w:val="24"/>
                <w:szCs w:val="24"/>
                <w:lang w:val="zh-TW"/>
              </w:rPr>
              <w:t>主席報告：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kern w:val="0"/>
                <w:sz w:val="24"/>
                <w:szCs w:val="24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一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</w:rPr>
              <w:t xml:space="preserve"> 106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學年度課程計畫國七由</w:t>
            </w:r>
            <w:smartTag w:uri="urn:schemas-microsoft-com:office:smarttags" w:element="PersonName">
              <w:r w:rsidRPr="00F74A0E">
                <w:rPr>
                  <w:rFonts w:ascii="標楷體" w:eastAsia="標楷體" w:hAnsi="標楷體" w:cs="Helvetica" w:hint="eastAsia"/>
                  <w:kern w:val="0"/>
                  <w:sz w:val="24"/>
                  <w:szCs w:val="24"/>
                </w:rPr>
                <w:t>潘亮</w:t>
              </w:r>
            </w:smartTag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君、劉冠鳳、</w:t>
            </w:r>
            <w:smartTag w:uri="urn:schemas-microsoft-com:office:smarttags" w:element="PersonName">
              <w:r w:rsidRPr="00F74A0E">
                <w:rPr>
                  <w:rFonts w:ascii="標楷體" w:eastAsia="標楷體" w:hAnsi="標楷體" w:cs="Helvetica" w:hint="eastAsia"/>
                  <w:kern w:val="0"/>
                  <w:sz w:val="24"/>
                  <w:szCs w:val="24"/>
                </w:rPr>
                <w:t>邱筠芸</w:t>
              </w:r>
            </w:smartTag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老師；國八由黃淑恩、</w:t>
            </w:r>
            <w:smartTag w:uri="urn:schemas-microsoft-com:office:smarttags" w:element="PersonName">
              <w:r w:rsidRPr="00F74A0E">
                <w:rPr>
                  <w:rFonts w:ascii="標楷體" w:eastAsia="標楷體" w:hAnsi="標楷體" w:cs="Helvetica" w:hint="eastAsia"/>
                  <w:kern w:val="0"/>
                  <w:sz w:val="24"/>
                  <w:szCs w:val="24"/>
                </w:rPr>
                <w:t>王惠玲</w:t>
              </w:r>
            </w:smartTag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老師；國九由林香琴、</w:t>
            </w:r>
            <w:smartTag w:uri="urn:schemas-microsoft-com:office:smarttags" w:element="PersonName">
              <w:r w:rsidRPr="00F74A0E">
                <w:rPr>
                  <w:rFonts w:ascii="標楷體" w:eastAsia="標楷體" w:hAnsi="標楷體" w:cs="Helvetica" w:hint="eastAsia"/>
                  <w:kern w:val="0"/>
                  <w:sz w:val="24"/>
                  <w:szCs w:val="24"/>
                </w:rPr>
                <w:t>林仙珠</w:t>
              </w:r>
            </w:smartTag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老師負責。七年級可五月底前繳交。國八的課程計畫除了國文之外，還有彈性課程閱來閱有趣。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kern w:val="0"/>
                <w:sz w:val="24"/>
                <w:szCs w:val="24"/>
              </w:rPr>
            </w:pP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二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教科書於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5/16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進行評選，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5/17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上網公告評選結果。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kern w:val="0"/>
                <w:sz w:val="24"/>
                <w:szCs w:val="24"/>
              </w:rPr>
            </w:pP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三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生涯融入作文，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5/31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前繳交照片、學習單予輔導室。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kern w:val="0"/>
                <w:sz w:val="24"/>
                <w:szCs w:val="24"/>
              </w:rPr>
            </w:pP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四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) 4/22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靜修女中亮點學堂研習。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kern w:val="0"/>
                <w:sz w:val="24"/>
                <w:szCs w:val="24"/>
              </w:rPr>
            </w:pP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五</w:t>
            </w:r>
            <w:r w:rsidRPr="00F74A0E">
              <w:rPr>
                <w:rFonts w:ascii="標楷體" w:eastAsia="標楷體" w:hAnsi="標楷體" w:cs="Helvetica"/>
                <w:kern w:val="0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cs="Helvetica" w:hint="eastAsia"/>
                <w:kern w:val="0"/>
                <w:sz w:val="24"/>
                <w:szCs w:val="24"/>
              </w:rPr>
              <w:t>請填寫評鑑規程檢核表。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b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cs="Times New Roman" w:hint="eastAsia"/>
                <w:b/>
                <w:kern w:val="0"/>
                <w:sz w:val="24"/>
                <w:szCs w:val="24"/>
                <w:lang w:val="zh-TW"/>
              </w:rPr>
              <w:t>主題：研讀十二年國教課綱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重點摘要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一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為什麼要制定十二年國民基本教育課程綱要總綱？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長久以來，國民中小學九年一貫課綱與各類型高中課綱為分開訂立，容易產生課程重覆、難度不一等銜接落差問題。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因此，在十二年國教課程連貫發展的整體思考下，我們更系統性的制定「十二年國民基本教育課程綱要總綱」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總綱所主張的教育願景是什麼？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有鑑於我們的每一位孩子都是不一樣的獨特個體，各自擁有多元智慧與性向；且在知識快速變遷時代，須學會如何學習。因此，為了提升孩子的學習興趣及終身學習能力，總綱提出「成就每一個孩子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—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適性揚才、終身學習」的課程願景。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三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總綱中，如何提升學生的學習興趣？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在國中、國小階段，除了各領域學習課程之外，總綱改進現行彈性學習課程的設計，讓孩子可以有更多專題性、探究性及實作性等活化學習的機會，並可選擇參加有興趣的學習社團、技藝活動等，以發展自主學習能力，獲得多元適性的學習機會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在高中階段，除了必修課程外，學生也可以在多樣的選修課程中，發展自己的性向，除了深化學科與專業的學習外，更能獲得自我實現與成就展現的機會，讓學生更有興趣投入學習。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</w:pP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總綱中，如何展現教師的教育專業？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教師是教育理想落實教育現場的重要關鍵，更是持續學習以為學生榜樣的教育專業工作者。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>   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總綱仍維持現行課綱中，教師得參與學校課程發展委員會的規範。教師可結合社區資源與教師專業等，發展出落實學校教育願景的學校本位課程。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>   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教師亦可主動參與教學研究會、學習共同體等教師專業社群，透過共同備課、公開授課、教材研發、行動研究等，運用多元有效的教學方法，以提升學生的學習成效。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>   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為了掌握領域課程綱要的內容，以及發展素養導向的教學，教師也可以參加相關研習或進修課程，持續精進。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五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)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總綱中，國民中、小學為什麼新增科技領域？會不會增加學生的負擔？</w:t>
            </w:r>
          </w:p>
          <w:p w:rsidR="000E5F70" w:rsidRPr="00F74A0E" w:rsidRDefault="000E5F70" w:rsidP="00F74A0E">
            <w:pPr>
              <w:pStyle w:val="NormalWeb"/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F74A0E">
              <w:rPr>
                <w:rFonts w:ascii="標楷體" w:eastAsia="標楷體" w:hAnsi="標楷體" w:hint="eastAsia"/>
                <w:color w:val="000000"/>
              </w:rPr>
              <w:t>現行九年一貫課程的「自然與生活科技」領域，因生活科技不列為會考考試範圍，使得生活科技教學在國中現場易受忽視。為保有生活科技的課程品質，特別重新整合已經在彈性學習節數實施的資訊教育，於國中階段新增一個「科技」領域。因此，科技領域屬於現行的課程內容，並不會增加學生的學習負擔。</w:t>
            </w:r>
            <w:r w:rsidRPr="00F74A0E">
              <w:rPr>
                <w:rFonts w:ascii="標楷體" w:eastAsia="標楷體" w:hAnsi="標楷體"/>
                <w:color w:val="000000"/>
              </w:rPr>
              <w:t xml:space="preserve"> 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六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總綱中，為什麼國民中小學國語文及數學的節數，會比其他領域還要多？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國語文及數學領域的學習長久以來受到國人的重視，國語文領域培養學生聽、說、讀、寫、用等素養。這些素養是學生學習其他領域課程的基礎；另一方面，數學被稱為科學之母，其領域課程培養學生應用運算符號、進行論證以及抽象邏輯思維的素養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基於語文與數學是其他領域學習重要工具，同時世界各國在國民中小學教育階段中，語文及數學課程所佔的節數比例皆較高，故在國中小教育階段規劃較多的學習節數，讓學生獲得充分學習的機會，以強化學生國語文、數學的學科素養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七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)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總綱中，為什麼要保留彈性學習課程？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維持彈性學習課程的設計，教師可以結合教育專業及社區資源等發展學校本位課程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例如：校園學習步道、主題統整課程、戶外教育等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，讓學生能在真實的生活情境中學習、認識生活周遭的環境、應用所學解決生活的問題，使得學習更有意義，並提升學生的學習興趣。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另一方面，彈性學習課程也可以規劃社團活動、自主學習、技藝課程等，讓學生有自主與適性學習的機會，探索個人的學習興趣，展現學習專長。也可以規劃班級輔導、服務學習、自治活動、校際與班際交流等活動，讓學生在德育、群育方面有更多的學習機會，更能適應未來的社會生活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原則上，若部分學生在數學、英語等領域出現學習落後的情況，也可以在彈性學習課程中進行補救教學，讓這些學生依照學習程度分組上課。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而學校教師更可以展現專業，開設相關的領域學習社團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例如：英語繪本創作、合唱團、機器人等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，讓學生在社團活動時間中，依照興趣與能力自由選修，深化學生在特定領域的學習。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八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)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十二年國民基本教育的課程總綱修訂中，國民中小學各領域的學習節數如何分配？</w:t>
            </w:r>
          </w:p>
          <w:p w:rsidR="000E5F70" w:rsidRPr="00F74A0E" w:rsidRDefault="000E5F70" w:rsidP="00F74A0E">
            <w:pPr>
              <w:pStyle w:val="NormalWeb"/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F74A0E">
              <w:rPr>
                <w:rFonts w:ascii="標楷體" w:eastAsia="標楷體" w:hAnsi="標楷體" w:hint="eastAsia"/>
                <w:color w:val="000000"/>
              </w:rPr>
              <w:t>在總綱中，各領域學習節數的分配，我們主要參照以下原則進行分配：（</w:t>
            </w:r>
            <w:r w:rsidRPr="00F74A0E">
              <w:rPr>
                <w:rFonts w:ascii="標楷體" w:eastAsia="標楷體" w:hAnsi="標楷體"/>
                <w:color w:val="000000"/>
              </w:rPr>
              <w:t>1</w:t>
            </w:r>
            <w:r w:rsidRPr="00F74A0E">
              <w:rPr>
                <w:rFonts w:ascii="標楷體" w:eastAsia="標楷體" w:hAnsi="標楷體" w:hint="eastAsia"/>
                <w:color w:val="000000"/>
              </w:rPr>
              <w:t>）參考現行九年一貫課程各領域的學習節數比例；（</w:t>
            </w:r>
            <w:r w:rsidRPr="00F74A0E">
              <w:rPr>
                <w:rFonts w:ascii="標楷體" w:eastAsia="標楷體" w:hAnsi="標楷體"/>
                <w:color w:val="000000"/>
              </w:rPr>
              <w:t>2</w:t>
            </w:r>
            <w:r w:rsidRPr="00F74A0E">
              <w:rPr>
                <w:rFonts w:ascii="標楷體" w:eastAsia="標楷體" w:hAnsi="標楷體" w:hint="eastAsia"/>
                <w:color w:val="000000"/>
              </w:rPr>
              <w:t>）參考學校現場的各領域節數實施現況；（</w:t>
            </w:r>
            <w:r w:rsidRPr="00F74A0E">
              <w:rPr>
                <w:rFonts w:ascii="標楷體" w:eastAsia="標楷體" w:hAnsi="標楷體"/>
                <w:color w:val="000000"/>
              </w:rPr>
              <w:t>3</w:t>
            </w:r>
            <w:r w:rsidRPr="00F74A0E">
              <w:rPr>
                <w:rFonts w:ascii="標楷體" w:eastAsia="標楷體" w:hAnsi="標楷體" w:hint="eastAsia"/>
                <w:color w:val="000000"/>
              </w:rPr>
              <w:t>）以不增加現行每週學習總節數為原則。</w:t>
            </w:r>
            <w:r w:rsidRPr="00F74A0E">
              <w:rPr>
                <w:rFonts w:ascii="標楷體" w:eastAsia="標楷體" w:hAnsi="標楷體"/>
                <w:color w:val="000000"/>
              </w:rPr>
              <w:t xml:space="preserve"> 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九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語文領域的學習可以國語文、本土語文、英語文三者並重，三者各占相當比例的教學節數嗎？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國語文能力的養成是學生學習各領域教材時，在閱讀理解上的重要基礎，因此，世界各國的國民教育在國小階段，皆重視本國語文的學習，並佔有較高比例的學習節數。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英語文是外國語文，屬不同的拼音語系，作為與國際溝通的工具，利於學生與國際接軌。但為了避免影響本國語文的學習，歐美國家多於國中階段才開始修習外國語文，而亞洲國家也多於國小階段的中、高年級才開始修習英語文，並有一定比例的教學節數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本土語文是本土族群文化的資產，更是學生與台灣不同族群溝通的良好工具。但本土語文採用與國語文不同的拼音系統，而我國的官方語言目前為國語文，為奠定國語文（工具學科）的學習基礎，故本土語文的教學節數比例較少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 xml:space="preserve">   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因此，為了讓學生打好各領域教材閱讀理解的學習基礎，於國民小學階段規劃較多比例的國語文有其必要性，所以總綱中，也規劃較多比例的學習節數。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十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)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十二年國民基本教育的課綱實施後，在國民中學可以採分科教學嗎？為什麼？</w:t>
            </w:r>
          </w:p>
          <w:p w:rsidR="000E5F70" w:rsidRPr="00F74A0E" w:rsidRDefault="000E5F70" w:rsidP="00F74A0E">
            <w:pPr>
              <w:pStyle w:val="NormalWeb"/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F74A0E">
              <w:rPr>
                <w:rFonts w:ascii="標楷體" w:eastAsia="標楷體" w:hAnsi="標楷體" w:hint="eastAsia"/>
                <w:color w:val="000000"/>
              </w:rPr>
              <w:t>國中階段之自然科學、社會、藝術、綜合活動、健康與體育等領域，均含數個科目，未來除了實施領域教學外，經學校課程發展委員會通過後，亦得實施分科教學</w:t>
            </w:r>
            <w:r w:rsidRPr="00F74A0E">
              <w:rPr>
                <w:rFonts w:ascii="標楷體" w:eastAsia="標楷體" w:hAnsi="標楷體"/>
                <w:color w:val="000000"/>
              </w:rPr>
              <w:t>(</w:t>
            </w:r>
            <w:r w:rsidRPr="00F74A0E">
              <w:rPr>
                <w:rFonts w:ascii="標楷體" w:eastAsia="標楷體" w:hAnsi="標楷體" w:hint="eastAsia"/>
                <w:color w:val="000000"/>
              </w:rPr>
              <w:t>例如：社會領域由歷史、地理、公民與社會三位專任教師進行教學</w:t>
            </w:r>
            <w:r w:rsidRPr="00F74A0E">
              <w:rPr>
                <w:rFonts w:ascii="標楷體" w:eastAsia="標楷體" w:hAnsi="標楷體"/>
                <w:color w:val="000000"/>
              </w:rPr>
              <w:t>)</w:t>
            </w:r>
            <w:r w:rsidRPr="00F74A0E">
              <w:rPr>
                <w:rFonts w:ascii="標楷體" w:eastAsia="標楷體" w:hAnsi="標楷體" w:hint="eastAsia"/>
                <w:color w:val="000000"/>
              </w:rPr>
              <w:t>。在國中階段採取分科教學，依據國中教師學科專業授課外，更鼓勵教師進行跨科</w:t>
            </w:r>
            <w:r w:rsidRPr="00F74A0E">
              <w:rPr>
                <w:rFonts w:ascii="標楷體" w:eastAsia="標楷體" w:hAnsi="標楷體"/>
                <w:color w:val="000000"/>
              </w:rPr>
              <w:t>/</w:t>
            </w:r>
            <w:r w:rsidRPr="00F74A0E">
              <w:rPr>
                <w:rFonts w:ascii="標楷體" w:eastAsia="標楷體" w:hAnsi="標楷體" w:hint="eastAsia"/>
                <w:color w:val="000000"/>
              </w:rPr>
              <w:t>領域的教學，讓學生的學習更深化。</w:t>
            </w:r>
            <w:r w:rsidRPr="00F74A0E">
              <w:rPr>
                <w:rFonts w:ascii="標楷體" w:eastAsia="標楷體" w:hAnsi="標楷體"/>
                <w:color w:val="000000"/>
              </w:rPr>
              <w:t xml:space="preserve"> 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十一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要如何避免國中學生在一周課表中要修習太多科目的學習負擔呢？</w:t>
            </w:r>
          </w:p>
          <w:p w:rsidR="000E5F70" w:rsidRPr="00F74A0E" w:rsidRDefault="000E5F70" w:rsidP="00F74A0E">
            <w:pPr>
              <w:pStyle w:val="NormalWeb"/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F74A0E">
              <w:rPr>
                <w:rFonts w:ascii="標楷體" w:eastAsia="標楷體" w:hAnsi="標楷體" w:hint="eastAsia"/>
                <w:color w:val="000000"/>
              </w:rPr>
              <w:t>為了減少學生一周內修習太多科目的學習負擔，在後續的領域課程綱要制訂時，在相同的領域，可以規劃不同年級修習不同科目，例如：相同領域可以在同一學年彈性修習一至二個科目，不必所有科目在每學年都全部修習；或是經學校課發會決議，將部分科目以單雙週或上下學期對開的方式規劃班級課表，以減少國中學生一周內的修習科目數。</w:t>
            </w:r>
          </w:p>
          <w:p w:rsidR="000E5F70" w:rsidRPr="00F74A0E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(</w:t>
            </w:r>
            <w:r w:rsidRPr="00F74A0E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val="zh-TW"/>
              </w:rPr>
              <w:t>十二</w:t>
            </w:r>
            <w:r w:rsidRPr="00F74A0E">
              <w:rPr>
                <w:rFonts w:ascii="標楷體" w:eastAsia="標楷體" w:hAnsi="標楷體" w:cs="Times New Roman"/>
                <w:kern w:val="0"/>
                <w:sz w:val="24"/>
                <w:szCs w:val="24"/>
                <w:lang w:val="zh-TW"/>
              </w:rPr>
              <w:t>)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國民中小學的領域學習課程可以實施跨領域主題統整教學嗎？要如何規劃？</w:t>
            </w:r>
          </w:p>
          <w:p w:rsidR="000E5F70" w:rsidRPr="005F21DB" w:rsidRDefault="000E5F70" w:rsidP="00F74A0E">
            <w:pPr>
              <w:autoSpaceDE w:val="0"/>
              <w:autoSpaceDN w:val="0"/>
              <w:adjustRightInd w:val="0"/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val="zh-TW"/>
              </w:rPr>
            </w:pP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總綱明文規定：「在符合教育部教學正常化之相關規定及領域學習節數之原則下，學校得彈性調整或重組部定課程之領域學習節數，實施各種學習型式的跨領域統整課程。跨領域統整課程最多佔領域學習課程總節數五分之一，其學習節數得分開計入相關學習領域，並可進行協同教學。」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>   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因此，學校經課發會決議，可以將領域學習課程部分組合，進行跨領域主題統整教學，惟其節數不超過領域學習課程總節數的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1/5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。以國民小學第三學習階段為例，其領域學習每周總節數為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26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節，學校可規劃單周最多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節的跨領域主題統整教學。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br/>
              <w:t>   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例如某校以「比例、對稱」為主題，統整「數學」和「藝術」領域，進行單周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節課的跨領域教學。而原「數學」（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4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節）及「藝術」（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節）經扣除跨領域統整課程節數（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節）後，仍可保留部分時間（</w:t>
            </w:r>
            <w:r w:rsidRPr="00F74A0E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F74A0E">
              <w:rPr>
                <w:rFonts w:ascii="標楷體" w:eastAsia="標楷體" w:hAnsi="標楷體" w:hint="eastAsia"/>
                <w:sz w:val="24"/>
                <w:szCs w:val="24"/>
              </w:rPr>
              <w:t>節）進行單一領域的教學。</w:t>
            </w:r>
          </w:p>
        </w:tc>
      </w:tr>
    </w:tbl>
    <w:p w:rsidR="000E5F70" w:rsidRPr="005F21DB" w:rsidRDefault="000E5F70" w:rsidP="005F21DB">
      <w:pPr>
        <w:adjustRightInd w:val="0"/>
        <w:snapToGrid w:val="0"/>
        <w:spacing w:line="240" w:lineRule="auto"/>
        <w:rPr>
          <w:rFonts w:ascii="Times New Roman" w:eastAsia="標楷體" w:hAnsi="Times New Roman" w:cs="Times New Roman"/>
          <w:color w:val="auto"/>
          <w:sz w:val="28"/>
          <w:szCs w:val="28"/>
        </w:rPr>
      </w:pPr>
    </w:p>
    <w:tbl>
      <w:tblPr>
        <w:tblW w:w="6233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13"/>
        <w:gridCol w:w="6092"/>
      </w:tblGrid>
      <w:tr w:rsidR="000E5F70" w:rsidRPr="005F21DB" w:rsidTr="00722483">
        <w:trPr>
          <w:trHeight w:val="3118"/>
        </w:trPr>
        <w:tc>
          <w:tcPr>
            <w:tcW w:w="2571" w:type="pct"/>
          </w:tcPr>
          <w:p w:rsidR="000E5F70" w:rsidRPr="000276D7" w:rsidRDefault="000E5F70" w:rsidP="005F21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721CC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5pt;height:138pt">
                  <v:imagedata r:id="rId7" o:title=""/>
                </v:shape>
              </w:pict>
            </w:r>
          </w:p>
        </w:tc>
        <w:tc>
          <w:tcPr>
            <w:tcW w:w="2429" w:type="pct"/>
          </w:tcPr>
          <w:p w:rsidR="000E5F70" w:rsidRPr="001C09F8" w:rsidRDefault="000E5F70" w:rsidP="005F21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pict>
                <v:shape id="_x0000_i1026" type="#_x0000_t75" style="width:294pt;height:165pt">
                  <v:imagedata r:id="rId8" o:title=""/>
                </v:shape>
              </w:pict>
            </w:r>
          </w:p>
        </w:tc>
      </w:tr>
      <w:tr w:rsidR="000E5F70" w:rsidRPr="005F21DB" w:rsidTr="00722483">
        <w:trPr>
          <w:trHeight w:val="680"/>
        </w:trPr>
        <w:tc>
          <w:tcPr>
            <w:tcW w:w="2571" w:type="pct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分配課程計畫撰寫負責人</w:t>
            </w:r>
          </w:p>
        </w:tc>
        <w:tc>
          <w:tcPr>
            <w:tcW w:w="2429" w:type="pct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研讀</w:t>
            </w:r>
            <w:r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12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年國教課綱</w:t>
            </w:r>
          </w:p>
        </w:tc>
      </w:tr>
      <w:tr w:rsidR="000E5F70" w:rsidRPr="005F21DB" w:rsidTr="00722483">
        <w:trPr>
          <w:trHeight w:val="3118"/>
        </w:trPr>
        <w:tc>
          <w:tcPr>
            <w:tcW w:w="2571" w:type="pct"/>
          </w:tcPr>
          <w:p w:rsidR="000E5F70" w:rsidRDefault="000E5F70" w:rsidP="005F21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  <w:p w:rsidR="000E5F70" w:rsidRPr="000276D7" w:rsidRDefault="000E5F70" w:rsidP="005F21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721CC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pict>
                <v:shape id="_x0000_i1027" type="#_x0000_t75" style="width:212.25pt;height:119.25pt">
                  <v:imagedata r:id="rId9" o:title=""/>
                </v:shape>
              </w:pict>
            </w:r>
          </w:p>
        </w:tc>
        <w:tc>
          <w:tcPr>
            <w:tcW w:w="2429" w:type="pct"/>
          </w:tcPr>
          <w:p w:rsidR="000E5F70" w:rsidRPr="005F21DB" w:rsidRDefault="000E5F70" w:rsidP="005F21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pict>
                <v:shape id="_x0000_i1028" type="#_x0000_t75" style="width:244.5pt;height:138pt">
                  <v:imagedata r:id="rId10" o:title=""/>
                </v:shape>
              </w:pict>
            </w:r>
          </w:p>
        </w:tc>
      </w:tr>
      <w:tr w:rsidR="000E5F70" w:rsidRPr="005F21DB" w:rsidTr="00722483">
        <w:trPr>
          <w:trHeight w:val="680"/>
        </w:trPr>
        <w:tc>
          <w:tcPr>
            <w:tcW w:w="2571" w:type="pct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逐條研讀課綱</w:t>
            </w:r>
          </w:p>
        </w:tc>
        <w:tc>
          <w:tcPr>
            <w:tcW w:w="2429" w:type="pct"/>
          </w:tcPr>
          <w:p w:rsidR="000E5F70" w:rsidRPr="005F21DB" w:rsidRDefault="000E5F70" w:rsidP="005F21DB">
            <w:pPr>
              <w:adjustRightInd w:val="0"/>
              <w:snapToGrid w:val="0"/>
              <w:spacing w:line="240" w:lineRule="auto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提出個人心得</w:t>
            </w:r>
          </w:p>
        </w:tc>
      </w:tr>
    </w:tbl>
    <w:p w:rsidR="000E5F70" w:rsidRPr="005F21DB" w:rsidRDefault="000E5F70" w:rsidP="00B4210C">
      <w:pPr>
        <w:adjustRightInd w:val="0"/>
        <w:snapToGrid w:val="0"/>
        <w:spacing w:line="240" w:lineRule="auto"/>
        <w:rPr>
          <w:bdr w:val="single" w:sz="4" w:space="0" w:color="auto"/>
        </w:rPr>
      </w:pPr>
    </w:p>
    <w:sectPr w:rsidR="000E5F70" w:rsidRPr="005F21DB" w:rsidSect="00B578BC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F70" w:rsidRDefault="000E5F70" w:rsidP="00BC4339">
      <w:pPr>
        <w:spacing w:line="240" w:lineRule="auto"/>
      </w:pPr>
      <w:r>
        <w:separator/>
      </w:r>
    </w:p>
  </w:endnote>
  <w:endnote w:type="continuationSeparator" w:id="0">
    <w:p w:rsidR="000E5F70" w:rsidRDefault="000E5F70" w:rsidP="00BC4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F70" w:rsidRDefault="000E5F70" w:rsidP="00BC4339">
      <w:pPr>
        <w:spacing w:line="240" w:lineRule="auto"/>
      </w:pPr>
      <w:r>
        <w:separator/>
      </w:r>
    </w:p>
  </w:footnote>
  <w:footnote w:type="continuationSeparator" w:id="0">
    <w:p w:rsidR="000E5F70" w:rsidRDefault="000E5F70" w:rsidP="00BC43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F7C02"/>
    <w:multiLevelType w:val="hybridMultilevel"/>
    <w:tmpl w:val="FDC2BCA4"/>
    <w:lvl w:ilvl="0" w:tplc="B6A6AC2E">
      <w:start w:val="1"/>
      <w:numFmt w:val="taiwaneseCountingThousand"/>
      <w:lvlText w:val="(%1)"/>
      <w:lvlJc w:val="left"/>
      <w:pPr>
        <w:ind w:left="375" w:hanging="37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78BC"/>
    <w:rsid w:val="000144A6"/>
    <w:rsid w:val="00021B66"/>
    <w:rsid w:val="000276D7"/>
    <w:rsid w:val="00080767"/>
    <w:rsid w:val="00080C10"/>
    <w:rsid w:val="00083486"/>
    <w:rsid w:val="00093360"/>
    <w:rsid w:val="000B2D96"/>
    <w:rsid w:val="000E5F70"/>
    <w:rsid w:val="00162DE5"/>
    <w:rsid w:val="001C09F8"/>
    <w:rsid w:val="001F18EA"/>
    <w:rsid w:val="002542E4"/>
    <w:rsid w:val="0026608C"/>
    <w:rsid w:val="002930AB"/>
    <w:rsid w:val="002C00DA"/>
    <w:rsid w:val="002D556D"/>
    <w:rsid w:val="00300775"/>
    <w:rsid w:val="0040210C"/>
    <w:rsid w:val="004164C1"/>
    <w:rsid w:val="0042693D"/>
    <w:rsid w:val="004454D2"/>
    <w:rsid w:val="004C1F76"/>
    <w:rsid w:val="00520A86"/>
    <w:rsid w:val="005277BD"/>
    <w:rsid w:val="0055493F"/>
    <w:rsid w:val="0056096E"/>
    <w:rsid w:val="00567E8D"/>
    <w:rsid w:val="005768E7"/>
    <w:rsid w:val="005F21DB"/>
    <w:rsid w:val="006B7E8D"/>
    <w:rsid w:val="006C77CD"/>
    <w:rsid w:val="006F722F"/>
    <w:rsid w:val="00722483"/>
    <w:rsid w:val="00752306"/>
    <w:rsid w:val="007E75B8"/>
    <w:rsid w:val="008042CB"/>
    <w:rsid w:val="0080769F"/>
    <w:rsid w:val="00830424"/>
    <w:rsid w:val="008B1E12"/>
    <w:rsid w:val="0090410A"/>
    <w:rsid w:val="009043CA"/>
    <w:rsid w:val="009365BE"/>
    <w:rsid w:val="00954E73"/>
    <w:rsid w:val="0099671E"/>
    <w:rsid w:val="00A02B83"/>
    <w:rsid w:val="00AC329F"/>
    <w:rsid w:val="00B41FBD"/>
    <w:rsid w:val="00B4210C"/>
    <w:rsid w:val="00B578BC"/>
    <w:rsid w:val="00B66849"/>
    <w:rsid w:val="00BC4339"/>
    <w:rsid w:val="00BD470F"/>
    <w:rsid w:val="00BE381F"/>
    <w:rsid w:val="00BE7777"/>
    <w:rsid w:val="00C034E9"/>
    <w:rsid w:val="00CA3AFF"/>
    <w:rsid w:val="00CC17CE"/>
    <w:rsid w:val="00D10A4D"/>
    <w:rsid w:val="00D876E1"/>
    <w:rsid w:val="00D9680C"/>
    <w:rsid w:val="00DC42DD"/>
    <w:rsid w:val="00DC4F8A"/>
    <w:rsid w:val="00DF7C86"/>
    <w:rsid w:val="00E17048"/>
    <w:rsid w:val="00E2009D"/>
    <w:rsid w:val="00E574AC"/>
    <w:rsid w:val="00E721CC"/>
    <w:rsid w:val="00ED13D2"/>
    <w:rsid w:val="00ED68E7"/>
    <w:rsid w:val="00EE10EA"/>
    <w:rsid w:val="00F35CA1"/>
    <w:rsid w:val="00F74A0E"/>
    <w:rsid w:val="00F96E66"/>
    <w:rsid w:val="00FE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578BC"/>
    <w:pPr>
      <w:spacing w:line="276" w:lineRule="auto"/>
    </w:pPr>
    <w:rPr>
      <w:rFonts w:ascii="Arial" w:hAnsi="Arial" w:cs="Arial"/>
      <w:color w:val="00000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578BC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C4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4339"/>
    <w:rPr>
      <w:rFonts w:ascii="Arial" w:hAnsi="Arial" w:cs="Times New Roman"/>
      <w:color w:val="000000"/>
      <w:sz w:val="20"/>
    </w:rPr>
  </w:style>
  <w:style w:type="paragraph" w:styleId="Footer">
    <w:name w:val="footer"/>
    <w:basedOn w:val="Normal"/>
    <w:link w:val="FooterChar"/>
    <w:uiPriority w:val="99"/>
    <w:rsid w:val="00BC43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4339"/>
    <w:rPr>
      <w:rFonts w:ascii="Arial" w:hAnsi="Arial" w:cs="Times New Roman"/>
      <w:color w:val="000000"/>
      <w:sz w:val="20"/>
    </w:rPr>
  </w:style>
  <w:style w:type="paragraph" w:styleId="ListParagraph">
    <w:name w:val="List Paragraph"/>
    <w:basedOn w:val="Normal"/>
    <w:uiPriority w:val="99"/>
    <w:qFormat/>
    <w:rsid w:val="00B41FBD"/>
    <w:pPr>
      <w:ind w:leftChars="200" w:left="480"/>
    </w:pPr>
  </w:style>
  <w:style w:type="paragraph" w:styleId="NormalWeb">
    <w:name w:val="Normal (Web)"/>
    <w:basedOn w:val="Normal"/>
    <w:uiPriority w:val="99"/>
    <w:locked/>
    <w:rsid w:val="00D9680C"/>
    <w:pPr>
      <w:spacing w:before="200" w:after="200" w:line="240" w:lineRule="auto"/>
    </w:pPr>
    <w:rPr>
      <w:rFonts w:ascii="新細明體" w:hAnsi="新細明體" w:cs="新細明體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5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59360">
                  <w:marLeft w:val="0"/>
                  <w:marRight w:val="0"/>
                  <w:marTop w:val="0"/>
                  <w:marBottom w:val="0"/>
                  <w:divBdr>
                    <w:top w:val="single" w:sz="8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5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5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5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95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5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5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5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5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95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9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95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95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5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95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959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959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959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959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959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959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959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959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4</Pages>
  <Words>493</Words>
  <Characters>2816</Characters>
  <Application>Microsoft Office Outlook</Application>
  <DocSecurity>0</DocSecurity>
  <Lines>0</Lines>
  <Paragraphs>0</Paragraphs>
  <ScaleCrop>false</ScaleCrop>
  <Company>MyPC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臺北市立大同高級中學105學年度第二學期教學研究會/工作坊</dc:title>
  <dc:subject/>
  <dc:creator/>
  <cp:keywords/>
  <dc:description/>
  <cp:lastModifiedBy>HP</cp:lastModifiedBy>
  <cp:revision>5</cp:revision>
  <dcterms:created xsi:type="dcterms:W3CDTF">2017-04-05T00:45:00Z</dcterms:created>
  <dcterms:modified xsi:type="dcterms:W3CDTF">2017-04-07T03:49:00Z</dcterms:modified>
</cp:coreProperties>
</file>